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4991" w14:textId="77777777" w:rsidR="00E4540A" w:rsidRPr="00E4540A" w:rsidRDefault="00E4540A" w:rsidP="00E4540A">
      <w:pPr>
        <w:jc w:val="center"/>
        <w:rPr>
          <w:rFonts w:ascii="Garamond" w:hAnsi="Garamond"/>
        </w:rPr>
      </w:pPr>
      <w:r w:rsidRPr="00E4540A">
        <w:rPr>
          <w:rFonts w:ascii="Garamond" w:hAnsi="Garamond"/>
        </w:rPr>
        <w:t>IAHR Workshop: Study of Religion Without an Object? Global Perspectives</w:t>
      </w:r>
    </w:p>
    <w:p w14:paraId="7FE815D7" w14:textId="77777777" w:rsidR="00E4540A" w:rsidRPr="00E4540A" w:rsidRDefault="00E4540A" w:rsidP="00E4540A">
      <w:pPr>
        <w:jc w:val="center"/>
        <w:rPr>
          <w:rFonts w:ascii="Garamond" w:hAnsi="Garamond"/>
        </w:rPr>
      </w:pPr>
      <w:r w:rsidRPr="00E4540A">
        <w:rPr>
          <w:rFonts w:ascii="Garamond" w:hAnsi="Garamond"/>
        </w:rPr>
        <w:t>19-21 August 2026</w:t>
      </w:r>
    </w:p>
    <w:p w14:paraId="54C094C1" w14:textId="059AD4F7" w:rsidR="00524457" w:rsidRDefault="00E4540A" w:rsidP="00E4540A">
      <w:pPr>
        <w:jc w:val="center"/>
        <w:rPr>
          <w:rFonts w:ascii="Garamond" w:hAnsi="Garamond"/>
        </w:rPr>
      </w:pPr>
      <w:r w:rsidRPr="00E4540A">
        <w:rPr>
          <w:rFonts w:ascii="Garamond" w:hAnsi="Garamond"/>
        </w:rPr>
        <w:t>Tartu, Estonia</w:t>
      </w:r>
    </w:p>
    <w:p w14:paraId="3FD8611D" w14:textId="77777777" w:rsidR="00E4540A" w:rsidRDefault="00E4540A" w:rsidP="00E4540A">
      <w:pPr>
        <w:jc w:val="center"/>
        <w:rPr>
          <w:rFonts w:ascii="Garamond" w:hAnsi="Garamond"/>
        </w:rPr>
      </w:pPr>
    </w:p>
    <w:p w14:paraId="6223D760" w14:textId="77777777" w:rsidR="00BC6036" w:rsidRDefault="00E4540A" w:rsidP="00E4540A">
      <w:pPr>
        <w:jc w:val="center"/>
        <w:rPr>
          <w:rFonts w:ascii="Garamond" w:hAnsi="Garamond"/>
        </w:rPr>
      </w:pPr>
      <w:r>
        <w:rPr>
          <w:rFonts w:ascii="Garamond" w:hAnsi="Garamond"/>
        </w:rPr>
        <w:t>Abstracts</w:t>
      </w:r>
      <w:r w:rsidR="00BC6036">
        <w:rPr>
          <w:rFonts w:ascii="Garamond" w:hAnsi="Garamond"/>
        </w:rPr>
        <w:t xml:space="preserve"> </w:t>
      </w:r>
    </w:p>
    <w:p w14:paraId="3D6A05FF" w14:textId="59ADB8B5" w:rsidR="00E4540A" w:rsidRDefault="00BC6036" w:rsidP="00E4540A">
      <w:pPr>
        <w:jc w:val="center"/>
        <w:rPr>
          <w:rFonts w:ascii="Garamond" w:hAnsi="Garamond"/>
        </w:rPr>
      </w:pPr>
      <w:r>
        <w:rPr>
          <w:rFonts w:ascii="Garamond" w:hAnsi="Garamond"/>
        </w:rPr>
        <w:t>(in the order of present</w:t>
      </w:r>
      <w:r w:rsidR="0064037E">
        <w:rPr>
          <w:rFonts w:ascii="Garamond" w:hAnsi="Garamond"/>
        </w:rPr>
        <w:t>ing</w:t>
      </w:r>
      <w:r>
        <w:rPr>
          <w:rFonts w:ascii="Garamond" w:hAnsi="Garamond"/>
        </w:rPr>
        <w:t xml:space="preserve"> – see also overall schedule)</w:t>
      </w:r>
    </w:p>
    <w:p w14:paraId="50DA0B25" w14:textId="77777777" w:rsidR="00E4540A" w:rsidRDefault="00E4540A" w:rsidP="00E4540A">
      <w:pPr>
        <w:jc w:val="center"/>
        <w:rPr>
          <w:rFonts w:ascii="Garamond" w:hAnsi="Garamond"/>
        </w:rPr>
      </w:pPr>
    </w:p>
    <w:p w14:paraId="5688EAA7" w14:textId="23855CC4" w:rsidR="00E4540A" w:rsidRDefault="00BC6036" w:rsidP="00E4540A">
      <w:pPr>
        <w:jc w:val="both"/>
        <w:rPr>
          <w:rFonts w:ascii="Garamond" w:hAnsi="Garamond"/>
        </w:rPr>
      </w:pPr>
      <w:r>
        <w:rPr>
          <w:rFonts w:ascii="Garamond" w:hAnsi="Garamond"/>
          <w:b/>
          <w:bCs/>
        </w:rPr>
        <w:t>August 19</w:t>
      </w:r>
    </w:p>
    <w:p w14:paraId="36B6941F" w14:textId="42B99CD0" w:rsidR="00BC6036" w:rsidRDefault="00BC6036" w:rsidP="00BC6036">
      <w:pPr>
        <w:jc w:val="both"/>
        <w:rPr>
          <w:rFonts w:ascii="Garamond" w:hAnsi="Garamond"/>
        </w:rPr>
      </w:pPr>
      <w:r w:rsidRPr="00BC6036">
        <w:rPr>
          <w:rFonts w:ascii="Garamond" w:hAnsi="Garamond"/>
          <w:b/>
          <w:bCs/>
        </w:rPr>
        <w:t xml:space="preserve">Domenico </w:t>
      </w:r>
      <w:proofErr w:type="spellStart"/>
      <w:r w:rsidRPr="00BC6036">
        <w:rPr>
          <w:rFonts w:ascii="Garamond" w:hAnsi="Garamond"/>
          <w:b/>
          <w:bCs/>
        </w:rPr>
        <w:t>Accorinti</w:t>
      </w:r>
      <w:proofErr w:type="spellEnd"/>
      <w:r w:rsidRPr="00BC6036">
        <w:rPr>
          <w:rFonts w:ascii="Garamond" w:hAnsi="Garamond"/>
        </w:rPr>
        <w:t xml:space="preserve"> (IIS Galilei-</w:t>
      </w:r>
      <w:proofErr w:type="spellStart"/>
      <w:r w:rsidRPr="00BC6036">
        <w:rPr>
          <w:rFonts w:ascii="Garamond" w:hAnsi="Garamond"/>
        </w:rPr>
        <w:t>Pacinotti</w:t>
      </w:r>
      <w:proofErr w:type="spellEnd"/>
      <w:r w:rsidRPr="00BC6036">
        <w:rPr>
          <w:rFonts w:ascii="Garamond" w:hAnsi="Garamond"/>
        </w:rPr>
        <w:t>, Pisa, Italy) – Between Reification and</w:t>
      </w:r>
      <w:r>
        <w:rPr>
          <w:rFonts w:ascii="Garamond" w:hAnsi="Garamond"/>
        </w:rPr>
        <w:t xml:space="preserve"> </w:t>
      </w:r>
      <w:r w:rsidRPr="00BC6036">
        <w:rPr>
          <w:rFonts w:ascii="Garamond" w:hAnsi="Garamond"/>
        </w:rPr>
        <w:t>Deconstruction: Looking for a Consensus about the Object of the Study of Religion</w:t>
      </w:r>
    </w:p>
    <w:p w14:paraId="1F98ACA2" w14:textId="5120E66A" w:rsidR="00BC6036" w:rsidRDefault="00BC6036" w:rsidP="00BC6036">
      <w:pPr>
        <w:spacing w:line="276" w:lineRule="auto"/>
        <w:jc w:val="both"/>
        <w:rPr>
          <w:rFonts w:ascii="Garamond" w:hAnsi="Garamond"/>
        </w:rPr>
      </w:pPr>
      <w:r w:rsidRPr="00BC6036">
        <w:rPr>
          <w:rFonts w:ascii="Garamond" w:hAnsi="Garamond"/>
        </w:rPr>
        <w:t>In his masterpiece The Meaning and the End of Religion (New York: Macmillan, 1962), the</w:t>
      </w:r>
      <w:r>
        <w:rPr>
          <w:rFonts w:ascii="Garamond" w:hAnsi="Garamond"/>
        </w:rPr>
        <w:t xml:space="preserve"> </w:t>
      </w:r>
      <w:r w:rsidRPr="00BC6036">
        <w:rPr>
          <w:rFonts w:ascii="Garamond" w:hAnsi="Garamond"/>
        </w:rPr>
        <w:t>renowned Canadian scholar of comparative religion Wilfred Cantwell Smith (1916–2000)</w:t>
      </w:r>
      <w:r>
        <w:rPr>
          <w:rFonts w:ascii="Garamond" w:hAnsi="Garamond"/>
        </w:rPr>
        <w:t xml:space="preserve"> </w:t>
      </w:r>
      <w:r w:rsidRPr="00BC6036">
        <w:rPr>
          <w:rFonts w:ascii="Garamond" w:hAnsi="Garamond"/>
        </w:rPr>
        <w:t>attempted to prove that religion has no essence and that the West has sought to reify what</w:t>
      </w:r>
      <w:r>
        <w:rPr>
          <w:rFonts w:ascii="Garamond" w:hAnsi="Garamond"/>
        </w:rPr>
        <w:t xml:space="preserve"> </w:t>
      </w:r>
      <w:r w:rsidRPr="00BC6036">
        <w:rPr>
          <w:rFonts w:ascii="Garamond" w:hAnsi="Garamond"/>
        </w:rPr>
        <w:t>is merely a name, ‘religion’, in order to gain easier access to its object of study (58–68). Some</w:t>
      </w:r>
      <w:r>
        <w:rPr>
          <w:rFonts w:ascii="Garamond" w:hAnsi="Garamond"/>
        </w:rPr>
        <w:t xml:space="preserve"> </w:t>
      </w:r>
      <w:r w:rsidRPr="00BC6036">
        <w:rPr>
          <w:rFonts w:ascii="Garamond" w:hAnsi="Garamond"/>
        </w:rPr>
        <w:t>40 years after the publication of Smith’s book, Talal Asad provided an insightful reading of</w:t>
      </w:r>
      <w:r>
        <w:rPr>
          <w:rFonts w:ascii="Garamond" w:hAnsi="Garamond"/>
        </w:rPr>
        <w:t xml:space="preserve"> </w:t>
      </w:r>
      <w:r w:rsidRPr="00BC6036">
        <w:rPr>
          <w:rFonts w:ascii="Garamond" w:hAnsi="Garamond"/>
        </w:rPr>
        <w:t>it in his article “Reading a Modern Classic: W. C. Smith’s The Meaning and End of Religion”</w:t>
      </w:r>
      <w:r>
        <w:rPr>
          <w:rFonts w:ascii="Garamond" w:hAnsi="Garamond"/>
        </w:rPr>
        <w:t xml:space="preserve"> </w:t>
      </w:r>
      <w:r w:rsidRPr="00BC6036">
        <w:rPr>
          <w:rFonts w:ascii="Garamond" w:hAnsi="Garamond"/>
        </w:rPr>
        <w:t>(History of Religions 40, 2001, 205–222). In discussing Smith’s view on anti-essentialism and</w:t>
      </w:r>
      <w:r>
        <w:rPr>
          <w:rFonts w:ascii="Garamond" w:hAnsi="Garamond"/>
        </w:rPr>
        <w:t xml:space="preserve"> </w:t>
      </w:r>
      <w:r w:rsidRPr="00BC6036">
        <w:rPr>
          <w:rFonts w:ascii="Garamond" w:hAnsi="Garamond"/>
        </w:rPr>
        <w:t>religious reification, Asad, while acknowledging the originality of his approach to the longstanding question of the nature of religion, reproaches him for neglecting “the materialities</w:t>
      </w:r>
      <w:r>
        <w:rPr>
          <w:rFonts w:ascii="Garamond" w:hAnsi="Garamond"/>
        </w:rPr>
        <w:t xml:space="preserve"> </w:t>
      </w:r>
      <w:r w:rsidRPr="00BC6036">
        <w:rPr>
          <w:rFonts w:ascii="Garamond" w:hAnsi="Garamond"/>
        </w:rPr>
        <w:t>that form religious subjects” (217). This fundamental objection to Smith’s argument reflects</w:t>
      </w:r>
      <w:r>
        <w:rPr>
          <w:rFonts w:ascii="Garamond" w:hAnsi="Garamond"/>
        </w:rPr>
        <w:t xml:space="preserve"> </w:t>
      </w:r>
      <w:r w:rsidRPr="00BC6036">
        <w:rPr>
          <w:rFonts w:ascii="Garamond" w:hAnsi="Garamond"/>
        </w:rPr>
        <w:t>the turn that the study of religion has taken from the 1990s onward, criticising the</w:t>
      </w:r>
      <w:r>
        <w:rPr>
          <w:rFonts w:ascii="Garamond" w:hAnsi="Garamond"/>
        </w:rPr>
        <w:t xml:space="preserve"> </w:t>
      </w:r>
      <w:r w:rsidRPr="00BC6036">
        <w:rPr>
          <w:rFonts w:ascii="Garamond" w:hAnsi="Garamond"/>
        </w:rPr>
        <w:t>dematerialization of religion. In fact, religion cannot be reduced to a worldview or a</w:t>
      </w:r>
      <w:r>
        <w:rPr>
          <w:rFonts w:ascii="Garamond" w:hAnsi="Garamond"/>
        </w:rPr>
        <w:t xml:space="preserve"> </w:t>
      </w:r>
      <w:r w:rsidRPr="00BC6036">
        <w:rPr>
          <w:rFonts w:ascii="Garamond" w:hAnsi="Garamond"/>
        </w:rPr>
        <w:t>discourse, because it involves things, bodies, animals, and places in which religion takes</w:t>
      </w:r>
      <w:r>
        <w:rPr>
          <w:rFonts w:ascii="Garamond" w:hAnsi="Garamond"/>
        </w:rPr>
        <w:t xml:space="preserve"> </w:t>
      </w:r>
      <w:r w:rsidRPr="00BC6036">
        <w:rPr>
          <w:rFonts w:ascii="Garamond" w:hAnsi="Garamond"/>
        </w:rPr>
        <w:t xml:space="preserve">shape. The </w:t>
      </w:r>
      <w:proofErr w:type="spellStart"/>
      <w:r w:rsidRPr="00BC6036">
        <w:rPr>
          <w:rFonts w:ascii="Garamond" w:hAnsi="Garamond"/>
        </w:rPr>
        <w:t>vexata</w:t>
      </w:r>
      <w:proofErr w:type="spellEnd"/>
      <w:r w:rsidRPr="00BC6036">
        <w:rPr>
          <w:rFonts w:ascii="Garamond" w:hAnsi="Garamond"/>
        </w:rPr>
        <w:t xml:space="preserve"> quaestio of how to define religion also gives rise to the issue of the object</w:t>
      </w:r>
      <w:r>
        <w:rPr>
          <w:rFonts w:ascii="Garamond" w:hAnsi="Garamond"/>
        </w:rPr>
        <w:t xml:space="preserve"> </w:t>
      </w:r>
      <w:r w:rsidRPr="00BC6036">
        <w:rPr>
          <w:rFonts w:ascii="Garamond" w:hAnsi="Garamond"/>
        </w:rPr>
        <w:t>of the study of religion. Jeppe Sinding Jensen addressed this question several years ago in a</w:t>
      </w:r>
      <w:r>
        <w:rPr>
          <w:rFonts w:ascii="Garamond" w:hAnsi="Garamond"/>
        </w:rPr>
        <w:t xml:space="preserve"> </w:t>
      </w:r>
      <w:r w:rsidRPr="00BC6036">
        <w:rPr>
          <w:rFonts w:ascii="Garamond" w:hAnsi="Garamond"/>
        </w:rPr>
        <w:t>paper entitled “History of Religions without an Object? On the Relations between the</w:t>
      </w:r>
      <w:r>
        <w:rPr>
          <w:rFonts w:ascii="Garamond" w:hAnsi="Garamond"/>
        </w:rPr>
        <w:t xml:space="preserve"> </w:t>
      </w:r>
      <w:r w:rsidRPr="00BC6036">
        <w:rPr>
          <w:rFonts w:ascii="Garamond" w:hAnsi="Garamond"/>
        </w:rPr>
        <w:t xml:space="preserve">History of Religions and Current Issues in Anthropology” (in </w:t>
      </w:r>
      <w:proofErr w:type="spellStart"/>
      <w:r w:rsidRPr="00BC6036">
        <w:rPr>
          <w:rFonts w:ascii="Garamond" w:hAnsi="Garamond"/>
        </w:rPr>
        <w:t>Wytold</w:t>
      </w:r>
      <w:proofErr w:type="spellEnd"/>
      <w:r w:rsidRPr="00BC6036">
        <w:rPr>
          <w:rFonts w:ascii="Garamond" w:hAnsi="Garamond"/>
        </w:rPr>
        <w:t xml:space="preserve"> </w:t>
      </w:r>
      <w:proofErr w:type="spellStart"/>
      <w:r w:rsidRPr="00BC6036">
        <w:rPr>
          <w:rFonts w:ascii="Garamond" w:hAnsi="Garamond"/>
        </w:rPr>
        <w:t>Tyloch</w:t>
      </w:r>
      <w:proofErr w:type="spellEnd"/>
      <w:r w:rsidRPr="00BC6036">
        <w:rPr>
          <w:rFonts w:ascii="Garamond" w:hAnsi="Garamond"/>
        </w:rPr>
        <w:t>, ed., Studies on</w:t>
      </w:r>
      <w:r>
        <w:rPr>
          <w:rFonts w:ascii="Garamond" w:hAnsi="Garamond"/>
        </w:rPr>
        <w:t xml:space="preserve"> </w:t>
      </w:r>
      <w:r w:rsidRPr="00BC6036">
        <w:rPr>
          <w:rFonts w:ascii="Garamond" w:hAnsi="Garamond"/>
        </w:rPr>
        <w:t>Religions in the Context of the Social Sciences 13, Warsaw, Polish Academy of the Social</w:t>
      </w:r>
      <w:r>
        <w:rPr>
          <w:rFonts w:ascii="Garamond" w:hAnsi="Garamond"/>
        </w:rPr>
        <w:t xml:space="preserve"> </w:t>
      </w:r>
      <w:r w:rsidRPr="00BC6036">
        <w:rPr>
          <w:rFonts w:ascii="Garamond" w:hAnsi="Garamond"/>
        </w:rPr>
        <w:t>Sciences, 1990, 56–68). Jensen has recently addressed the same issue, making interesting</w:t>
      </w:r>
      <w:r>
        <w:rPr>
          <w:rFonts w:ascii="Garamond" w:hAnsi="Garamond"/>
        </w:rPr>
        <w:t xml:space="preserve"> </w:t>
      </w:r>
      <w:r w:rsidRPr="00BC6036">
        <w:rPr>
          <w:rFonts w:ascii="Garamond" w:hAnsi="Garamond"/>
        </w:rPr>
        <w:t>observations on the distinction between ‘subject matter’ and ‘theoretical object’ as well as</w:t>
      </w:r>
      <w:r>
        <w:rPr>
          <w:rFonts w:ascii="Garamond" w:hAnsi="Garamond"/>
        </w:rPr>
        <w:t xml:space="preserve"> </w:t>
      </w:r>
      <w:r w:rsidRPr="00BC6036">
        <w:rPr>
          <w:rFonts w:ascii="Garamond" w:hAnsi="Garamond"/>
        </w:rPr>
        <w:t>on religion as an object and an ‘impure subject’ (“History of Religions without an Object?</w:t>
      </w:r>
      <w:r>
        <w:rPr>
          <w:rFonts w:ascii="Garamond" w:hAnsi="Garamond"/>
        </w:rPr>
        <w:t xml:space="preserve"> </w:t>
      </w:r>
      <w:r w:rsidRPr="00BC6036">
        <w:rPr>
          <w:rFonts w:ascii="Garamond" w:hAnsi="Garamond"/>
        </w:rPr>
        <w:t>Comparing Theoretical Objects in the History of Religions and in Anthropology”, in Peter</w:t>
      </w:r>
      <w:r>
        <w:rPr>
          <w:rFonts w:ascii="Garamond" w:hAnsi="Garamond"/>
        </w:rPr>
        <w:t xml:space="preserve"> </w:t>
      </w:r>
      <w:r w:rsidRPr="00BC6036">
        <w:rPr>
          <w:rFonts w:ascii="Garamond" w:hAnsi="Garamond"/>
        </w:rPr>
        <w:t>Antes, Armin W. Geertz, Mikael Rothstein, eds., Contemporary Views on Comparative</w:t>
      </w:r>
      <w:r>
        <w:rPr>
          <w:rFonts w:ascii="Garamond" w:hAnsi="Garamond"/>
        </w:rPr>
        <w:t xml:space="preserve"> </w:t>
      </w:r>
      <w:r w:rsidRPr="00BC6036">
        <w:rPr>
          <w:rFonts w:ascii="Garamond" w:hAnsi="Garamond"/>
        </w:rPr>
        <w:t xml:space="preserve">Religion: In Celebration of Tim Jensen’s 65th Birthday, </w:t>
      </w:r>
      <w:proofErr w:type="spellStart"/>
      <w:r w:rsidRPr="00BC6036">
        <w:rPr>
          <w:rFonts w:ascii="Garamond" w:hAnsi="Garamond"/>
        </w:rPr>
        <w:t>Sheefield</w:t>
      </w:r>
      <w:proofErr w:type="spellEnd"/>
      <w:r w:rsidRPr="00BC6036">
        <w:rPr>
          <w:rFonts w:ascii="Garamond" w:hAnsi="Garamond"/>
        </w:rPr>
        <w:t>, Equinox Publishing, 2016,</w:t>
      </w:r>
      <w:r>
        <w:rPr>
          <w:rFonts w:ascii="Garamond" w:hAnsi="Garamond"/>
        </w:rPr>
        <w:t xml:space="preserve"> </w:t>
      </w:r>
      <w:r w:rsidRPr="00BC6036">
        <w:rPr>
          <w:rFonts w:ascii="Garamond" w:hAnsi="Garamond"/>
        </w:rPr>
        <w:t>103–114, esp. 106–107, 110–111). Drawing on these methodological reflections, the aim of this</w:t>
      </w:r>
      <w:r>
        <w:rPr>
          <w:rFonts w:ascii="Garamond" w:hAnsi="Garamond"/>
        </w:rPr>
        <w:t xml:space="preserve"> </w:t>
      </w:r>
      <w:r w:rsidRPr="00BC6036">
        <w:rPr>
          <w:rFonts w:ascii="Garamond" w:hAnsi="Garamond"/>
        </w:rPr>
        <w:t>paper is to investigate whether it is possible to mediate between reification and</w:t>
      </w:r>
      <w:r>
        <w:rPr>
          <w:rFonts w:ascii="Garamond" w:hAnsi="Garamond"/>
        </w:rPr>
        <w:t xml:space="preserve"> </w:t>
      </w:r>
      <w:r w:rsidRPr="00BC6036">
        <w:rPr>
          <w:rFonts w:ascii="Garamond" w:hAnsi="Garamond"/>
        </w:rPr>
        <w:t>deconstruction, thereby reaching a consensus on the object of the study of religion</w:t>
      </w:r>
      <w:r>
        <w:rPr>
          <w:rFonts w:ascii="Garamond" w:hAnsi="Garamond"/>
        </w:rPr>
        <w:t>.</w:t>
      </w:r>
    </w:p>
    <w:p w14:paraId="2EFA4F06" w14:textId="53B66A07" w:rsidR="00BC6036" w:rsidRDefault="00BC6036">
      <w:pPr>
        <w:rPr>
          <w:rFonts w:ascii="Garamond" w:hAnsi="Garamond"/>
        </w:rPr>
      </w:pPr>
      <w:r>
        <w:rPr>
          <w:rFonts w:ascii="Garamond" w:hAnsi="Garamond"/>
        </w:rPr>
        <w:br w:type="page"/>
      </w:r>
    </w:p>
    <w:p w14:paraId="7BB8E9EB" w14:textId="77777777" w:rsidR="00BC6036" w:rsidRDefault="00BC6036" w:rsidP="00BC6036">
      <w:pPr>
        <w:spacing w:line="276" w:lineRule="auto"/>
        <w:jc w:val="both"/>
        <w:rPr>
          <w:rFonts w:ascii="Garamond" w:hAnsi="Garamond"/>
        </w:rPr>
      </w:pPr>
      <w:r>
        <w:rPr>
          <w:rFonts w:ascii="Garamond" w:hAnsi="Garamond"/>
          <w:b/>
          <w:bCs/>
        </w:rPr>
        <w:lastRenderedPageBreak/>
        <w:t>Steven Sutcliffe</w:t>
      </w:r>
      <w:r>
        <w:rPr>
          <w:rFonts w:ascii="Garamond" w:hAnsi="Garamond"/>
        </w:rPr>
        <w:t xml:space="preserve"> (The Open University, UK) – </w:t>
      </w:r>
      <w:r w:rsidRPr="00C07C3C">
        <w:rPr>
          <w:rFonts w:ascii="Garamond" w:hAnsi="Garamond"/>
        </w:rPr>
        <w:t xml:space="preserve">‘Less is Better’: </w:t>
      </w:r>
      <w:r>
        <w:rPr>
          <w:rFonts w:ascii="Garamond" w:hAnsi="Garamond"/>
        </w:rPr>
        <w:t>T</w:t>
      </w:r>
      <w:r w:rsidRPr="00C07C3C">
        <w:rPr>
          <w:rFonts w:ascii="Garamond" w:hAnsi="Garamond"/>
        </w:rPr>
        <w:t>he Study of Religion as a ‘Middle-Range’ Enterprise</w:t>
      </w:r>
    </w:p>
    <w:p w14:paraId="52E9131D" w14:textId="77777777" w:rsidR="00BC6036" w:rsidRPr="00BC6036" w:rsidRDefault="00BC6036" w:rsidP="00BC6036">
      <w:pPr>
        <w:spacing w:line="276" w:lineRule="auto"/>
        <w:jc w:val="both"/>
        <w:rPr>
          <w:rFonts w:ascii="Garamond" w:hAnsi="Garamond"/>
        </w:rPr>
      </w:pPr>
      <w:r w:rsidRPr="00BC6036">
        <w:rPr>
          <w:rFonts w:ascii="Garamond" w:hAnsi="Garamond"/>
        </w:rPr>
        <w:t>The Study of Religion has long agonised over the ontological status of its central category, ‘religion’. I approach this chestnut using a historical-conceptual approach which draws on Robert Merton’s concept of ‘middle range’ theory in sociology. I use this approach to raise a very practical question: can we use the term ‘religion’ scientifically beyond the bounds of its genesis in, and dissemination from, European Modernity? Although Indigenous and Global South cultures (for example) offer taxa analogous to ‘religion’ (</w:t>
      </w:r>
      <w:proofErr w:type="spellStart"/>
      <w:r w:rsidRPr="00BC6036">
        <w:rPr>
          <w:rFonts w:ascii="Garamond" w:hAnsi="Garamond"/>
        </w:rPr>
        <w:t>eg.</w:t>
      </w:r>
      <w:proofErr w:type="spellEnd"/>
      <w:r w:rsidRPr="00BC6036">
        <w:rPr>
          <w:rFonts w:ascii="Garamond" w:hAnsi="Garamond"/>
        </w:rPr>
        <w:t xml:space="preserve"> </w:t>
      </w:r>
      <w:proofErr w:type="spellStart"/>
      <w:r w:rsidRPr="00BC6036">
        <w:rPr>
          <w:rFonts w:ascii="Garamond" w:hAnsi="Garamond"/>
        </w:rPr>
        <w:t>dīn</w:t>
      </w:r>
      <w:proofErr w:type="spellEnd"/>
      <w:r w:rsidRPr="00BC6036">
        <w:rPr>
          <w:rFonts w:ascii="Garamond" w:hAnsi="Garamond"/>
        </w:rPr>
        <w:t>, dharma), these terms are not translations.</w:t>
      </w:r>
    </w:p>
    <w:p w14:paraId="528F16FA" w14:textId="77777777" w:rsidR="00BC6036" w:rsidRPr="00BC6036" w:rsidRDefault="00BC6036" w:rsidP="00BC6036">
      <w:pPr>
        <w:spacing w:line="276" w:lineRule="auto"/>
        <w:jc w:val="both"/>
        <w:rPr>
          <w:rFonts w:ascii="Garamond" w:hAnsi="Garamond"/>
        </w:rPr>
      </w:pPr>
      <w:r w:rsidRPr="00BC6036">
        <w:rPr>
          <w:rFonts w:ascii="Garamond" w:hAnsi="Garamond"/>
        </w:rPr>
        <w:t xml:space="preserve">The question therefore arises: can we use the category ‘religion’ analytically beyond its European context of origination and dissemination? I think here of the combined influence of Latin etymology (religio from </w:t>
      </w:r>
      <w:proofErr w:type="spellStart"/>
      <w:r w:rsidRPr="00BC6036">
        <w:rPr>
          <w:rFonts w:ascii="Garamond" w:hAnsi="Garamond"/>
        </w:rPr>
        <w:t>relegere</w:t>
      </w:r>
      <w:proofErr w:type="spellEnd"/>
      <w:r w:rsidRPr="00BC6036">
        <w:rPr>
          <w:rFonts w:ascii="Garamond" w:hAnsi="Garamond"/>
        </w:rPr>
        <w:t xml:space="preserve"> or </w:t>
      </w:r>
      <w:proofErr w:type="spellStart"/>
      <w:r w:rsidRPr="00BC6036">
        <w:rPr>
          <w:rFonts w:ascii="Garamond" w:hAnsi="Garamond"/>
        </w:rPr>
        <w:t>relegare</w:t>
      </w:r>
      <w:proofErr w:type="spellEnd"/>
      <w:r w:rsidRPr="00BC6036">
        <w:rPr>
          <w:rFonts w:ascii="Garamond" w:hAnsi="Garamond"/>
        </w:rPr>
        <w:t xml:space="preserve">), its formation in Roman debates on proper practice (Cicero, </w:t>
      </w:r>
      <w:proofErr w:type="spellStart"/>
      <w:r w:rsidRPr="00BC6036">
        <w:rPr>
          <w:rFonts w:ascii="Garamond" w:hAnsi="Garamond"/>
        </w:rPr>
        <w:t>Lactantius</w:t>
      </w:r>
      <w:proofErr w:type="spellEnd"/>
      <w:r w:rsidRPr="00BC6036">
        <w:rPr>
          <w:rFonts w:ascii="Garamond" w:hAnsi="Garamond"/>
        </w:rPr>
        <w:t xml:space="preserve">) and subsequent ecclesiastical proprietorship amongst Christians and later colonial-economic dissemination and resistance. Within this ‘local European’ sphere and its Modernist distension, use of the term makes sense and can </w:t>
      </w:r>
      <w:proofErr w:type="spellStart"/>
      <w:r w:rsidRPr="00BC6036">
        <w:rPr>
          <w:rFonts w:ascii="Garamond" w:hAnsi="Garamond"/>
        </w:rPr>
        <w:t>enablesmeaningful</w:t>
      </w:r>
      <w:proofErr w:type="spellEnd"/>
      <w:r w:rsidRPr="00BC6036">
        <w:rPr>
          <w:rFonts w:ascii="Garamond" w:hAnsi="Garamond"/>
        </w:rPr>
        <w:t xml:space="preserve"> analysis. However Indigenous and postcolonial studies increasingly suggest that, in putative ‘global’ application, ‘religion’ struggles to find purchase and is even seen as a tool of continuing colonial subjugation.</w:t>
      </w:r>
    </w:p>
    <w:p w14:paraId="180E6803" w14:textId="56714DAF" w:rsidR="00BC6036" w:rsidRDefault="00BC6036" w:rsidP="00BC6036">
      <w:pPr>
        <w:spacing w:line="276" w:lineRule="auto"/>
        <w:jc w:val="both"/>
        <w:rPr>
          <w:rFonts w:ascii="Garamond" w:hAnsi="Garamond"/>
        </w:rPr>
      </w:pPr>
      <w:r w:rsidRPr="00BC6036">
        <w:rPr>
          <w:rFonts w:ascii="Garamond" w:hAnsi="Garamond"/>
        </w:rPr>
        <w:t>In response I conceive the Study of Religion as a ‘middle range’ enterprise, and ‘religion’ as a middle range’ category, based in two propositions by the American sociologist Robert Merton (1968: 41, 44-45) ‘(1) developing special theories from which to derive hypotheses that can be empirically investigated, and (2) by evolving a progressively more general conceptual scheme that is adequate to consolidate groups of special theories’. A middle range meta/theory is empirically grounded and theoretically progressive/generalisable - but it is not, by definition, ‘global’. A ‘middle range’ Study of Religion is strictly evidence-based and heuristic. Perhaps this doesn’t sound remarkable or much different from how many scholars already operate. The key point to a middle-range approach is identifying the limits of ‘religion’ as a theoretical construct. The historical sociology presupposed by Mertonian metatheory is that religion is not ‘everywhere’ and ‘always’, in some form or another. At the same time limitation is not a loss - as we are led to expect under the allure of expansionist ideology (more is better) - but a gain. Imposing limits can restore the scientific status of our discipline following the rubric ‘Less is better’ (Smith 1991).</w:t>
      </w:r>
    </w:p>
    <w:p w14:paraId="3F61B3FD" w14:textId="77777777" w:rsidR="00BC6036" w:rsidRDefault="00BC6036" w:rsidP="00BC6036">
      <w:pPr>
        <w:spacing w:line="276" w:lineRule="auto"/>
        <w:jc w:val="both"/>
        <w:rPr>
          <w:rFonts w:ascii="Garamond" w:hAnsi="Garamond"/>
        </w:rPr>
      </w:pPr>
    </w:p>
    <w:p w14:paraId="768C44D0" w14:textId="77777777" w:rsidR="00BC6036" w:rsidRDefault="00BC6036" w:rsidP="00BC6036">
      <w:pPr>
        <w:spacing w:line="276" w:lineRule="auto"/>
        <w:jc w:val="both"/>
        <w:rPr>
          <w:rFonts w:ascii="Garamond" w:hAnsi="Garamond"/>
        </w:rPr>
      </w:pPr>
      <w:r>
        <w:rPr>
          <w:rFonts w:ascii="Garamond" w:hAnsi="Garamond"/>
          <w:b/>
          <w:bCs/>
        </w:rPr>
        <w:t>Steven Engler</w:t>
      </w:r>
      <w:r>
        <w:rPr>
          <w:rFonts w:ascii="Garamond" w:hAnsi="Garamond"/>
        </w:rPr>
        <w:t xml:space="preserve"> (</w:t>
      </w:r>
      <w:r w:rsidRPr="00C07C3C">
        <w:rPr>
          <w:rFonts w:ascii="Garamond" w:hAnsi="Garamond"/>
        </w:rPr>
        <w:t>Mount Royal University, Canada</w:t>
      </w:r>
      <w:r>
        <w:rPr>
          <w:rFonts w:ascii="Garamond" w:hAnsi="Garamond"/>
        </w:rPr>
        <w:t xml:space="preserve">) – </w:t>
      </w:r>
      <w:r w:rsidRPr="00C07C3C">
        <w:rPr>
          <w:rFonts w:ascii="Garamond" w:hAnsi="Garamond"/>
        </w:rPr>
        <w:t>Religion as Semantic Node</w:t>
      </w:r>
    </w:p>
    <w:p w14:paraId="26F3C275" w14:textId="6B16FD7F" w:rsidR="00BC6036" w:rsidRPr="00BC6036" w:rsidRDefault="00BC6036" w:rsidP="00BC6036">
      <w:pPr>
        <w:spacing w:line="276" w:lineRule="auto"/>
        <w:jc w:val="both"/>
        <w:rPr>
          <w:rFonts w:ascii="Garamond" w:hAnsi="Garamond"/>
          <w:lang w:val="en-CA"/>
        </w:rPr>
      </w:pPr>
      <w:r w:rsidRPr="00BC6036">
        <w:rPr>
          <w:rFonts w:ascii="Garamond" w:hAnsi="Garamond"/>
          <w:lang w:val="en-CA"/>
        </w:rPr>
        <w:t xml:space="preserve">This paper argues that Donald Davidson’s holistic semantic theory resolves tensions between reifying and deconstructionist approaches to the study of religion’s object. Reifying tendencies in the study of religion are rooted in a </w:t>
      </w:r>
      <w:proofErr w:type="spellStart"/>
      <w:r w:rsidRPr="00BC6036">
        <w:rPr>
          <w:rFonts w:ascii="Garamond" w:hAnsi="Garamond"/>
          <w:lang w:val="en-CA"/>
        </w:rPr>
        <w:t>representationist</w:t>
      </w:r>
      <w:proofErr w:type="spellEnd"/>
      <w:r w:rsidRPr="00BC6036">
        <w:rPr>
          <w:rFonts w:ascii="Garamond" w:hAnsi="Garamond"/>
          <w:lang w:val="en-CA"/>
        </w:rPr>
        <w:t xml:space="preserve"> view of meaning: a view that sees meaning as a relation between words and world. If the word religion” means-what-it-means because it picks out a specific thing, then scholars are committed to that thing’s existence (whether ontologically distinct object or essentialized discursive construct). Davidson’s </w:t>
      </w:r>
      <w:proofErr w:type="spellStart"/>
      <w:r w:rsidRPr="00BC6036">
        <w:rPr>
          <w:rFonts w:ascii="Garamond" w:hAnsi="Garamond"/>
          <w:lang w:val="en-CA"/>
        </w:rPr>
        <w:t>interpretationism</w:t>
      </w:r>
      <w:proofErr w:type="spellEnd"/>
      <w:r w:rsidRPr="00BC6036">
        <w:rPr>
          <w:rFonts w:ascii="Garamond" w:hAnsi="Garamond"/>
          <w:lang w:val="en-CA"/>
        </w:rPr>
        <w:t xml:space="preserve"> reverses this priority. Meaning is constituted through the conditions required for successful communicative interpretation, not through reference. Reference is a helpful technique for understanding each other, but not a good basis for a theory of meaning. We </w:t>
      </w:r>
      <w:proofErr w:type="gramStart"/>
      <w:r w:rsidRPr="00BC6036">
        <w:rPr>
          <w:rFonts w:ascii="Garamond" w:hAnsi="Garamond"/>
          <w:lang w:val="en-CA"/>
        </w:rPr>
        <w:t>have to</w:t>
      </w:r>
      <w:proofErr w:type="gramEnd"/>
      <w:r w:rsidRPr="00BC6036">
        <w:rPr>
          <w:rFonts w:ascii="Garamond" w:hAnsi="Garamond"/>
          <w:lang w:val="en-CA"/>
        </w:rPr>
        <w:t xml:space="preserve"> first understand what someone means when they use a word, </w:t>
      </w:r>
      <w:proofErr w:type="gramStart"/>
      <w:r w:rsidRPr="00BC6036">
        <w:rPr>
          <w:rFonts w:ascii="Garamond" w:hAnsi="Garamond"/>
          <w:lang w:val="en-CA"/>
        </w:rPr>
        <w:t>in order to</w:t>
      </w:r>
      <w:proofErr w:type="gramEnd"/>
      <w:r w:rsidRPr="00BC6036">
        <w:rPr>
          <w:rFonts w:ascii="Garamond" w:hAnsi="Garamond"/>
          <w:lang w:val="en-CA"/>
        </w:rPr>
        <w:t xml:space="preserve"> then pick out what they purport to be pointing to. This </w:t>
      </w:r>
      <w:r w:rsidRPr="00BC6036">
        <w:rPr>
          <w:rFonts w:ascii="Garamond" w:hAnsi="Garamond"/>
          <w:lang w:val="en-CA"/>
        </w:rPr>
        <w:lastRenderedPageBreak/>
        <w:t>move does not collapse into relativism, because it preserves the objectivity of interpretive success and failure: meanings are publicly constituted through communicative encounters and are answerable to evidence.</w:t>
      </w:r>
    </w:p>
    <w:p w14:paraId="7077C9E8" w14:textId="77777777" w:rsidR="00BC6036" w:rsidRPr="00BC6036" w:rsidRDefault="00BC6036" w:rsidP="00BC6036">
      <w:pPr>
        <w:spacing w:line="276" w:lineRule="auto"/>
        <w:jc w:val="both"/>
        <w:rPr>
          <w:rFonts w:ascii="Garamond" w:hAnsi="Garamond"/>
          <w:lang w:val="en-CA"/>
        </w:rPr>
      </w:pPr>
      <w:r w:rsidRPr="00BC6036">
        <w:rPr>
          <w:rFonts w:ascii="Garamond" w:hAnsi="Garamond"/>
          <w:lang w:val="en-CA"/>
        </w:rPr>
        <w:t xml:space="preserve">On this view, “religion” and cognate terms are best understood as semantic nodes in a holistic web of interconnected usages, not as labels for natural or social kinds. The meaning of “religion” in any given scholarly or practitioner context is given by its role in interpretation—the inferential connections it sustains, the distinctions it enables, the communicative work it does. This reframes the question of definition: polythetic classifications are the best approach to defining “religion,” because they do not attempt to approximate a hidden essence; they are proposals about which nodes and connections are analytically productive for </w:t>
      </w:r>
      <w:proofErr w:type="gramStart"/>
      <w:r w:rsidRPr="00BC6036">
        <w:rPr>
          <w:rFonts w:ascii="Garamond" w:hAnsi="Garamond"/>
          <w:lang w:val="en-CA"/>
        </w:rPr>
        <w:t>particular interpretive</w:t>
      </w:r>
      <w:proofErr w:type="gramEnd"/>
      <w:r w:rsidRPr="00BC6036">
        <w:rPr>
          <w:rFonts w:ascii="Garamond" w:hAnsi="Garamond"/>
          <w:lang w:val="en-CA"/>
        </w:rPr>
        <w:t xml:space="preserve"> purposes. Definitions are situated interpretive vectors, not ontological commitments.</w:t>
      </w:r>
    </w:p>
    <w:p w14:paraId="3E89CD75" w14:textId="77777777" w:rsidR="00BC6036" w:rsidRPr="00BC6036" w:rsidRDefault="00BC6036" w:rsidP="00BC6036">
      <w:pPr>
        <w:spacing w:line="276" w:lineRule="auto"/>
        <w:jc w:val="both"/>
        <w:rPr>
          <w:rFonts w:ascii="Garamond" w:hAnsi="Garamond"/>
          <w:lang w:val="en-CA"/>
        </w:rPr>
      </w:pPr>
      <w:r w:rsidRPr="00BC6036">
        <w:rPr>
          <w:rFonts w:ascii="Garamond" w:hAnsi="Garamond"/>
          <w:lang w:val="en-CA"/>
        </w:rPr>
        <w:t xml:space="preserve">This approach also provides criteria for evaluating competing conceptualizations and definitions of “religion.” On </w:t>
      </w:r>
      <w:proofErr w:type="spellStart"/>
      <w:r w:rsidRPr="00BC6036">
        <w:rPr>
          <w:rFonts w:ascii="Garamond" w:hAnsi="Garamond"/>
          <w:lang w:val="en-CA"/>
        </w:rPr>
        <w:t>Davidsonian</w:t>
      </w:r>
      <w:proofErr w:type="spellEnd"/>
      <w:r w:rsidRPr="00BC6036">
        <w:rPr>
          <w:rFonts w:ascii="Garamond" w:hAnsi="Garamond"/>
          <w:lang w:val="en-CA"/>
        </w:rPr>
        <w:t xml:space="preserve"> grounds, a viable analytical term is one that generates convergent passing theories across a range of interpretive encounters—one that leads to communicative success between scholars, and between scholars and the communities they study. Conversely, persistent failure to achieve such convergence—chronic definitional contests, incommensurable scholarly frameworks, or systematic breakdown in communication between scholars and practitioners—is evidence that a proposed conceptualization is less useful. This yields an empirically answerable, non-reifying standard for theoretical and conceptual adequacy. This traces a middle ground that the Call for Papers highlights as important for the discipline.</w:t>
      </w:r>
    </w:p>
    <w:p w14:paraId="74F095DF" w14:textId="77777777" w:rsidR="00BC6036" w:rsidRDefault="00BC6036" w:rsidP="00BC6036">
      <w:pPr>
        <w:spacing w:line="276" w:lineRule="auto"/>
        <w:jc w:val="both"/>
        <w:rPr>
          <w:rFonts w:ascii="Garamond" w:hAnsi="Garamond"/>
          <w:lang w:val="en-CA"/>
        </w:rPr>
      </w:pPr>
    </w:p>
    <w:p w14:paraId="293FF66C" w14:textId="77777777" w:rsidR="00BC6036" w:rsidRDefault="00BC6036" w:rsidP="00BC6036">
      <w:pPr>
        <w:spacing w:line="276" w:lineRule="auto"/>
        <w:jc w:val="both"/>
        <w:rPr>
          <w:rFonts w:ascii="Garamond" w:hAnsi="Garamond"/>
        </w:rPr>
      </w:pPr>
      <w:r>
        <w:rPr>
          <w:rFonts w:ascii="Garamond" w:hAnsi="Garamond"/>
          <w:b/>
          <w:bCs/>
        </w:rPr>
        <w:t xml:space="preserve">Saile </w:t>
      </w:r>
      <w:proofErr w:type="spellStart"/>
      <w:r>
        <w:rPr>
          <w:rFonts w:ascii="Garamond" w:hAnsi="Garamond"/>
          <w:b/>
          <w:bCs/>
        </w:rPr>
        <w:t>Langsepp</w:t>
      </w:r>
      <w:proofErr w:type="spellEnd"/>
      <w:r>
        <w:rPr>
          <w:rFonts w:ascii="Garamond" w:hAnsi="Garamond"/>
        </w:rPr>
        <w:t xml:space="preserve"> (University of Tartu, Estonia) – </w:t>
      </w:r>
      <w:r w:rsidRPr="00C07C3C">
        <w:rPr>
          <w:rFonts w:ascii="Garamond" w:hAnsi="Garamond"/>
        </w:rPr>
        <w:t xml:space="preserve">Generalization vs </w:t>
      </w:r>
      <w:r>
        <w:rPr>
          <w:rFonts w:ascii="Garamond" w:hAnsi="Garamond"/>
        </w:rPr>
        <w:t>S</w:t>
      </w:r>
      <w:r w:rsidRPr="00C07C3C">
        <w:rPr>
          <w:rFonts w:ascii="Garamond" w:hAnsi="Garamond"/>
        </w:rPr>
        <w:t xml:space="preserve">pecification of </w:t>
      </w:r>
      <w:r>
        <w:rPr>
          <w:rFonts w:ascii="Garamond" w:hAnsi="Garamond"/>
        </w:rPr>
        <w:t>T</w:t>
      </w:r>
      <w:r w:rsidRPr="00C07C3C">
        <w:rPr>
          <w:rFonts w:ascii="Garamond" w:hAnsi="Garamond"/>
        </w:rPr>
        <w:t xml:space="preserve">erminology – </w:t>
      </w:r>
      <w:r>
        <w:rPr>
          <w:rFonts w:ascii="Garamond" w:hAnsi="Garamond"/>
        </w:rPr>
        <w:t>W</w:t>
      </w:r>
      <w:r w:rsidRPr="00C07C3C">
        <w:rPr>
          <w:rFonts w:ascii="Garamond" w:hAnsi="Garamond"/>
        </w:rPr>
        <w:t xml:space="preserve">hat’s </w:t>
      </w:r>
      <w:r>
        <w:rPr>
          <w:rFonts w:ascii="Garamond" w:hAnsi="Garamond"/>
        </w:rPr>
        <w:t>L</w:t>
      </w:r>
      <w:r w:rsidRPr="00C07C3C">
        <w:rPr>
          <w:rFonts w:ascii="Garamond" w:hAnsi="Garamond"/>
        </w:rPr>
        <w:t xml:space="preserve">eft in the </w:t>
      </w:r>
      <w:r>
        <w:rPr>
          <w:rFonts w:ascii="Garamond" w:hAnsi="Garamond"/>
        </w:rPr>
        <w:t>D</w:t>
      </w:r>
      <w:r w:rsidRPr="00C07C3C">
        <w:rPr>
          <w:rFonts w:ascii="Garamond" w:hAnsi="Garamond"/>
        </w:rPr>
        <w:t xml:space="preserve">ance </w:t>
      </w:r>
      <w:r>
        <w:rPr>
          <w:rFonts w:ascii="Garamond" w:hAnsi="Garamond"/>
        </w:rPr>
        <w:t>B</w:t>
      </w:r>
      <w:r w:rsidRPr="00C07C3C">
        <w:rPr>
          <w:rFonts w:ascii="Garamond" w:hAnsi="Garamond"/>
        </w:rPr>
        <w:t>etween?</w:t>
      </w:r>
    </w:p>
    <w:p w14:paraId="41F7975D" w14:textId="77777777" w:rsidR="00BC6036" w:rsidRDefault="00BC6036" w:rsidP="00BC6036">
      <w:pPr>
        <w:spacing w:line="276" w:lineRule="auto"/>
        <w:jc w:val="both"/>
        <w:rPr>
          <w:rFonts w:ascii="Garamond" w:hAnsi="Garamond"/>
        </w:rPr>
      </w:pPr>
      <w:r w:rsidRPr="00BC6036">
        <w:rPr>
          <w:rFonts w:ascii="Garamond" w:hAnsi="Garamond"/>
        </w:rPr>
        <w:t>This presentation examines the question of terminology in light of empirical fieldwork,</w:t>
      </w:r>
      <w:r>
        <w:rPr>
          <w:rFonts w:ascii="Garamond" w:hAnsi="Garamond"/>
        </w:rPr>
        <w:t xml:space="preserve"> </w:t>
      </w:r>
      <w:proofErr w:type="spellStart"/>
      <w:r w:rsidRPr="00BC6036">
        <w:rPr>
          <w:rFonts w:ascii="Garamond" w:hAnsi="Garamond"/>
        </w:rPr>
        <w:t>analyzing</w:t>
      </w:r>
      <w:proofErr w:type="spellEnd"/>
      <w:r w:rsidRPr="00BC6036">
        <w:rPr>
          <w:rFonts w:ascii="Garamond" w:hAnsi="Garamond"/>
        </w:rPr>
        <w:t xml:space="preserve"> what remains of concepts that are either too general or too specialized to adequately</w:t>
      </w:r>
      <w:r>
        <w:rPr>
          <w:rFonts w:ascii="Garamond" w:hAnsi="Garamond"/>
        </w:rPr>
        <w:t xml:space="preserve"> </w:t>
      </w:r>
      <w:r w:rsidRPr="00BC6036">
        <w:rPr>
          <w:rFonts w:ascii="Garamond" w:hAnsi="Garamond"/>
        </w:rPr>
        <w:t>describe real-world phenomena. The challenge of identifying the object of study, and the effort</w:t>
      </w:r>
      <w:r>
        <w:rPr>
          <w:rFonts w:ascii="Garamond" w:hAnsi="Garamond"/>
        </w:rPr>
        <w:t xml:space="preserve"> </w:t>
      </w:r>
      <w:r w:rsidRPr="00BC6036">
        <w:rPr>
          <w:rFonts w:ascii="Garamond" w:hAnsi="Garamond"/>
        </w:rPr>
        <w:t>to delineate or deconstruct its boundaries, is not limited to religious studies but also affects</w:t>
      </w:r>
      <w:r>
        <w:rPr>
          <w:rFonts w:ascii="Garamond" w:hAnsi="Garamond"/>
        </w:rPr>
        <w:t xml:space="preserve"> </w:t>
      </w:r>
      <w:r w:rsidRPr="00BC6036">
        <w:rPr>
          <w:rFonts w:ascii="Garamond" w:hAnsi="Garamond"/>
        </w:rPr>
        <w:t>other disciplines grappling with similar questions about their subject matter. In interdisciplinary</w:t>
      </w:r>
      <w:r>
        <w:rPr>
          <w:rFonts w:ascii="Garamond" w:hAnsi="Garamond"/>
        </w:rPr>
        <w:t xml:space="preserve"> </w:t>
      </w:r>
      <w:r w:rsidRPr="00BC6036">
        <w:rPr>
          <w:rFonts w:ascii="Garamond" w:hAnsi="Garamond"/>
        </w:rPr>
        <w:t>research on sacred dance – if it aims to engage equally with contemporary discourse in both</w:t>
      </w:r>
      <w:r>
        <w:rPr>
          <w:rFonts w:ascii="Garamond" w:hAnsi="Garamond"/>
        </w:rPr>
        <w:t xml:space="preserve"> </w:t>
      </w:r>
      <w:r w:rsidRPr="00BC6036">
        <w:rPr>
          <w:rFonts w:ascii="Garamond" w:hAnsi="Garamond"/>
        </w:rPr>
        <w:t>dance studies and religious studies – the object of study becomes subject to theoretical</w:t>
      </w:r>
      <w:r>
        <w:rPr>
          <w:rFonts w:ascii="Garamond" w:hAnsi="Garamond"/>
        </w:rPr>
        <w:t xml:space="preserve"> </w:t>
      </w:r>
      <w:r w:rsidRPr="00BC6036">
        <w:rPr>
          <w:rFonts w:ascii="Garamond" w:hAnsi="Garamond"/>
        </w:rPr>
        <w:t>challenges from both fields. This presentation seeks to take a look at the complex conceptual</w:t>
      </w:r>
      <w:r>
        <w:rPr>
          <w:rFonts w:ascii="Garamond" w:hAnsi="Garamond"/>
        </w:rPr>
        <w:t xml:space="preserve"> </w:t>
      </w:r>
      <w:r w:rsidRPr="00BC6036">
        <w:rPr>
          <w:rFonts w:ascii="Garamond" w:hAnsi="Garamond"/>
        </w:rPr>
        <w:t>dimensions of such research through a case study: participant observation of the Dances of</w:t>
      </w:r>
      <w:r>
        <w:rPr>
          <w:rFonts w:ascii="Garamond" w:hAnsi="Garamond"/>
        </w:rPr>
        <w:t xml:space="preserve"> </w:t>
      </w:r>
      <w:r w:rsidRPr="00BC6036">
        <w:rPr>
          <w:rFonts w:ascii="Garamond" w:hAnsi="Garamond"/>
        </w:rPr>
        <w:t>Universal Peace movement, which may be understood as a form of sacred dance practice.</w:t>
      </w:r>
      <w:r>
        <w:rPr>
          <w:rFonts w:ascii="Garamond" w:hAnsi="Garamond"/>
        </w:rPr>
        <w:t xml:space="preserve"> </w:t>
      </w:r>
    </w:p>
    <w:p w14:paraId="3B7FC2A8" w14:textId="77777777" w:rsidR="00BC6036" w:rsidRDefault="00BC6036" w:rsidP="00BC6036">
      <w:pPr>
        <w:spacing w:line="276" w:lineRule="auto"/>
        <w:jc w:val="both"/>
        <w:rPr>
          <w:rFonts w:ascii="Garamond" w:hAnsi="Garamond"/>
        </w:rPr>
      </w:pPr>
      <w:r w:rsidRPr="00BC6036">
        <w:rPr>
          <w:rFonts w:ascii="Garamond" w:hAnsi="Garamond"/>
        </w:rPr>
        <w:t>From the perspective of religious studies, questions arise concerning the definitions of</w:t>
      </w:r>
      <w:r>
        <w:rPr>
          <w:rFonts w:ascii="Garamond" w:hAnsi="Garamond"/>
        </w:rPr>
        <w:t xml:space="preserve"> </w:t>
      </w:r>
      <w:r w:rsidRPr="00BC6036">
        <w:rPr>
          <w:rFonts w:ascii="Garamond" w:hAnsi="Garamond"/>
        </w:rPr>
        <w:t>religion and ritual. From the standpoint of dance studies, the concepts of choreography and</w:t>
      </w:r>
      <w:r>
        <w:rPr>
          <w:rFonts w:ascii="Garamond" w:hAnsi="Garamond"/>
        </w:rPr>
        <w:t xml:space="preserve"> </w:t>
      </w:r>
      <w:r w:rsidRPr="00BC6036">
        <w:rPr>
          <w:rFonts w:ascii="Garamond" w:hAnsi="Garamond"/>
        </w:rPr>
        <w:t>dance are similarly contested and scrutinized. Practices within the Dances of Universal Peace</w:t>
      </w:r>
      <w:r>
        <w:rPr>
          <w:rFonts w:ascii="Garamond" w:hAnsi="Garamond"/>
        </w:rPr>
        <w:t xml:space="preserve"> </w:t>
      </w:r>
      <w:r w:rsidRPr="00BC6036">
        <w:rPr>
          <w:rFonts w:ascii="Garamond" w:hAnsi="Garamond"/>
        </w:rPr>
        <w:t>movement are simultaneously too “dance-like” to be classified purely as ritual and too “ritual-like” to be considered solely as dance. As a result, there exists an observable practice that, on</w:t>
      </w:r>
      <w:r>
        <w:rPr>
          <w:rFonts w:ascii="Garamond" w:hAnsi="Garamond"/>
        </w:rPr>
        <w:t xml:space="preserve"> </w:t>
      </w:r>
      <w:r w:rsidRPr="00BC6036">
        <w:rPr>
          <w:rFonts w:ascii="Garamond" w:hAnsi="Garamond"/>
        </w:rPr>
        <w:t>the one hand, embodies certain aspects of religious ritual and, on the other, manifests as danced</w:t>
      </w:r>
      <w:r>
        <w:rPr>
          <w:rFonts w:ascii="Garamond" w:hAnsi="Garamond"/>
        </w:rPr>
        <w:t xml:space="preserve"> </w:t>
      </w:r>
      <w:r w:rsidRPr="00BC6036">
        <w:rPr>
          <w:rFonts w:ascii="Garamond" w:hAnsi="Garamond"/>
        </w:rPr>
        <w:t>choreography, yet does not fully fall into either of those domains, balancing deftly on the</w:t>
      </w:r>
      <w:r>
        <w:rPr>
          <w:rFonts w:ascii="Garamond" w:hAnsi="Garamond"/>
        </w:rPr>
        <w:t xml:space="preserve"> </w:t>
      </w:r>
      <w:r w:rsidRPr="00BC6036">
        <w:rPr>
          <w:rFonts w:ascii="Garamond" w:hAnsi="Garamond"/>
        </w:rPr>
        <w:t>border. At the same time, rather than resolving this theoretical ambiguity, the deconstruction of</w:t>
      </w:r>
      <w:r>
        <w:rPr>
          <w:rFonts w:ascii="Garamond" w:hAnsi="Garamond"/>
        </w:rPr>
        <w:t xml:space="preserve"> </w:t>
      </w:r>
      <w:r w:rsidRPr="00BC6036">
        <w:rPr>
          <w:rFonts w:ascii="Garamond" w:hAnsi="Garamond"/>
        </w:rPr>
        <w:t xml:space="preserve">terminology may </w:t>
      </w:r>
      <w:r w:rsidRPr="00BC6036">
        <w:rPr>
          <w:rFonts w:ascii="Garamond" w:hAnsi="Garamond"/>
        </w:rPr>
        <w:lastRenderedPageBreak/>
        <w:t>further complicate it. This raises the question: how can we speak about such</w:t>
      </w:r>
      <w:r>
        <w:rPr>
          <w:rFonts w:ascii="Garamond" w:hAnsi="Garamond"/>
        </w:rPr>
        <w:t xml:space="preserve"> </w:t>
      </w:r>
      <w:r w:rsidRPr="00BC6036">
        <w:rPr>
          <w:rFonts w:ascii="Garamond" w:hAnsi="Garamond"/>
        </w:rPr>
        <w:t>practices when we lack sufficiently precise and meaningful terms to describe their distinct</w:t>
      </w:r>
      <w:r>
        <w:rPr>
          <w:rFonts w:ascii="Garamond" w:hAnsi="Garamond"/>
        </w:rPr>
        <w:t xml:space="preserve"> </w:t>
      </w:r>
      <w:r w:rsidRPr="00BC6036">
        <w:rPr>
          <w:rFonts w:ascii="Garamond" w:hAnsi="Garamond"/>
        </w:rPr>
        <w:t>dimensions – because those terms are either very narrow or too broad to be analytically useful?</w:t>
      </w:r>
    </w:p>
    <w:p w14:paraId="04588FAC" w14:textId="07FBF8AF" w:rsidR="00BC6036" w:rsidRDefault="00BC6036" w:rsidP="00BC6036">
      <w:pPr>
        <w:spacing w:line="276" w:lineRule="auto"/>
        <w:jc w:val="both"/>
        <w:rPr>
          <w:rFonts w:ascii="Garamond" w:hAnsi="Garamond"/>
        </w:rPr>
      </w:pPr>
      <w:r w:rsidRPr="00BC6036">
        <w:rPr>
          <w:rFonts w:ascii="Garamond" w:hAnsi="Garamond"/>
        </w:rPr>
        <w:t>While sacred dance is located between religious ritual and danced choreography and</w:t>
      </w:r>
      <w:r>
        <w:rPr>
          <w:rFonts w:ascii="Garamond" w:hAnsi="Garamond"/>
        </w:rPr>
        <w:t xml:space="preserve"> </w:t>
      </w:r>
      <w:r w:rsidRPr="00BC6036">
        <w:rPr>
          <w:rFonts w:ascii="Garamond" w:hAnsi="Garamond"/>
        </w:rPr>
        <w:t>may be understood as both, it remains necessary to engage with these conceptual categories.</w:t>
      </w:r>
      <w:r>
        <w:rPr>
          <w:rFonts w:ascii="Garamond" w:hAnsi="Garamond"/>
        </w:rPr>
        <w:t xml:space="preserve"> </w:t>
      </w:r>
      <w:r w:rsidRPr="00BC6036">
        <w:rPr>
          <w:rFonts w:ascii="Garamond" w:hAnsi="Garamond"/>
        </w:rPr>
        <w:t>Therefore, this presentation examines the use of the four following terms through the lens of</w:t>
      </w:r>
      <w:r>
        <w:rPr>
          <w:rFonts w:ascii="Garamond" w:hAnsi="Garamond"/>
        </w:rPr>
        <w:t xml:space="preserve"> </w:t>
      </w:r>
      <w:r w:rsidRPr="00BC6036">
        <w:rPr>
          <w:rFonts w:ascii="Garamond" w:hAnsi="Garamond"/>
        </w:rPr>
        <w:t>sacred dance research – religion, ritual, dance, and choreography – and discusses how they</w:t>
      </w:r>
      <w:r>
        <w:rPr>
          <w:rFonts w:ascii="Garamond" w:hAnsi="Garamond"/>
        </w:rPr>
        <w:t xml:space="preserve"> </w:t>
      </w:r>
      <w:r w:rsidRPr="00BC6036">
        <w:rPr>
          <w:rFonts w:ascii="Garamond" w:hAnsi="Garamond"/>
        </w:rPr>
        <w:t>relate to the practices of Dances of Universal Peace; and perhaps to the phenomena of sacred</w:t>
      </w:r>
      <w:r>
        <w:rPr>
          <w:rFonts w:ascii="Garamond" w:hAnsi="Garamond"/>
        </w:rPr>
        <w:t xml:space="preserve"> </w:t>
      </w:r>
      <w:r w:rsidRPr="00BC6036">
        <w:rPr>
          <w:rFonts w:ascii="Garamond" w:hAnsi="Garamond"/>
        </w:rPr>
        <w:t>dance itself.</w:t>
      </w:r>
    </w:p>
    <w:p w14:paraId="14739CB2" w14:textId="77777777" w:rsidR="00BC6036" w:rsidRDefault="00BC6036" w:rsidP="00BC6036">
      <w:pPr>
        <w:spacing w:line="276" w:lineRule="auto"/>
        <w:jc w:val="both"/>
        <w:rPr>
          <w:rFonts w:ascii="Garamond" w:hAnsi="Garamond"/>
        </w:rPr>
      </w:pPr>
    </w:p>
    <w:p w14:paraId="20465396" w14:textId="77777777" w:rsidR="00BC6036" w:rsidRDefault="00BC6036" w:rsidP="00BC6036">
      <w:pPr>
        <w:spacing w:line="276" w:lineRule="auto"/>
        <w:jc w:val="both"/>
        <w:rPr>
          <w:rFonts w:ascii="Garamond" w:hAnsi="Garamond"/>
        </w:rPr>
      </w:pPr>
    </w:p>
    <w:p w14:paraId="2CA55CFD" w14:textId="77777777" w:rsidR="00BC6036" w:rsidRDefault="00BC6036" w:rsidP="00BC6036">
      <w:pPr>
        <w:spacing w:line="276" w:lineRule="auto"/>
        <w:jc w:val="both"/>
        <w:rPr>
          <w:rFonts w:ascii="Garamond" w:hAnsi="Garamond"/>
        </w:rPr>
      </w:pPr>
      <w:r>
        <w:rPr>
          <w:rFonts w:ascii="Garamond" w:hAnsi="Garamond"/>
          <w:b/>
          <w:bCs/>
        </w:rPr>
        <w:t xml:space="preserve">Jarken Gadi </w:t>
      </w:r>
      <w:r>
        <w:rPr>
          <w:rFonts w:ascii="Garamond" w:hAnsi="Garamond"/>
        </w:rPr>
        <w:t>(</w:t>
      </w:r>
      <w:r w:rsidRPr="00C07C3C">
        <w:rPr>
          <w:rFonts w:ascii="Garamond" w:hAnsi="Garamond"/>
        </w:rPr>
        <w:t>Gokhale Institute of Politics and</w:t>
      </w:r>
      <w:r>
        <w:rPr>
          <w:rFonts w:ascii="Garamond" w:hAnsi="Garamond"/>
        </w:rPr>
        <w:t xml:space="preserve"> </w:t>
      </w:r>
      <w:r w:rsidRPr="00C07C3C">
        <w:rPr>
          <w:rFonts w:ascii="Garamond" w:hAnsi="Garamond"/>
        </w:rPr>
        <w:t>Economics, India</w:t>
      </w:r>
      <w:r>
        <w:rPr>
          <w:rFonts w:ascii="Garamond" w:hAnsi="Garamond"/>
        </w:rPr>
        <w:t xml:space="preserve">) – </w:t>
      </w:r>
      <w:r w:rsidRPr="00C07C3C">
        <w:rPr>
          <w:rFonts w:ascii="Garamond" w:hAnsi="Garamond"/>
        </w:rPr>
        <w:t xml:space="preserve">Negotiating Religion: Reform, Institutional Influences, and Change among the </w:t>
      </w:r>
      <w:r>
        <w:rPr>
          <w:rFonts w:ascii="Garamond" w:hAnsi="Garamond"/>
        </w:rPr>
        <w:t>T</w:t>
      </w:r>
      <w:r w:rsidRPr="00C07C3C">
        <w:rPr>
          <w:rFonts w:ascii="Garamond" w:hAnsi="Garamond"/>
        </w:rPr>
        <w:t>ribal</w:t>
      </w:r>
      <w:r>
        <w:rPr>
          <w:rFonts w:ascii="Garamond" w:hAnsi="Garamond"/>
        </w:rPr>
        <w:t xml:space="preserve"> C</w:t>
      </w:r>
      <w:r w:rsidRPr="00C07C3C">
        <w:rPr>
          <w:rFonts w:ascii="Garamond" w:hAnsi="Garamond"/>
        </w:rPr>
        <w:t>ommunity of Galos</w:t>
      </w:r>
    </w:p>
    <w:p w14:paraId="52A48688" w14:textId="1903CDB3" w:rsidR="00BC6036" w:rsidRPr="00BC6036" w:rsidRDefault="00BC6036" w:rsidP="00BC6036">
      <w:pPr>
        <w:spacing w:line="276" w:lineRule="auto"/>
        <w:jc w:val="both"/>
        <w:rPr>
          <w:rFonts w:ascii="Garamond" w:hAnsi="Garamond"/>
        </w:rPr>
      </w:pPr>
      <w:r w:rsidRPr="00BC6036">
        <w:rPr>
          <w:rFonts w:ascii="Garamond" w:hAnsi="Garamond"/>
        </w:rPr>
        <w:t>Recent debates in the study of religion have increasingly questioned whether</w:t>
      </w:r>
      <w:r>
        <w:rPr>
          <w:rFonts w:ascii="Garamond" w:hAnsi="Garamond"/>
        </w:rPr>
        <w:t xml:space="preserve"> </w:t>
      </w:r>
      <w:r w:rsidRPr="00BC6036">
        <w:rPr>
          <w:rFonts w:ascii="Garamond" w:hAnsi="Garamond"/>
        </w:rPr>
        <w:t>“religion” can be treated as a stable and clearly bounded object of study. This paper contributes</w:t>
      </w:r>
      <w:r>
        <w:rPr>
          <w:rFonts w:ascii="Garamond" w:hAnsi="Garamond"/>
        </w:rPr>
        <w:t xml:space="preserve"> </w:t>
      </w:r>
      <w:r w:rsidRPr="00BC6036">
        <w:rPr>
          <w:rFonts w:ascii="Garamond" w:hAnsi="Garamond"/>
        </w:rPr>
        <w:t>to these discussions through an examination of the tribal community of Galo of Arunachal</w:t>
      </w:r>
      <w:r>
        <w:rPr>
          <w:rFonts w:ascii="Garamond" w:hAnsi="Garamond"/>
        </w:rPr>
        <w:t xml:space="preserve"> </w:t>
      </w:r>
      <w:r w:rsidRPr="00BC6036">
        <w:rPr>
          <w:rFonts w:ascii="Garamond" w:hAnsi="Garamond"/>
        </w:rPr>
        <w:t>Pradesh, India, focusing on the historical formation, reformulation, and contemporary</w:t>
      </w:r>
      <w:r>
        <w:rPr>
          <w:rFonts w:ascii="Garamond" w:hAnsi="Garamond"/>
        </w:rPr>
        <w:t xml:space="preserve"> </w:t>
      </w:r>
      <w:r w:rsidRPr="00BC6036">
        <w:rPr>
          <w:rFonts w:ascii="Garamond" w:hAnsi="Garamond"/>
        </w:rPr>
        <w:t>transformations of indigenous religious practices.</w:t>
      </w:r>
      <w:r>
        <w:rPr>
          <w:rFonts w:ascii="Garamond" w:hAnsi="Garamond"/>
        </w:rPr>
        <w:t xml:space="preserve"> </w:t>
      </w:r>
      <w:r w:rsidRPr="00BC6036">
        <w:rPr>
          <w:rFonts w:ascii="Garamond" w:hAnsi="Garamond"/>
        </w:rPr>
        <w:t>Traditionally, Galo religious life has been deeply embedded within broader socio-cultural</w:t>
      </w:r>
      <w:r>
        <w:rPr>
          <w:rFonts w:ascii="Garamond" w:hAnsi="Garamond"/>
        </w:rPr>
        <w:t xml:space="preserve"> </w:t>
      </w:r>
      <w:r w:rsidRPr="00BC6036">
        <w:rPr>
          <w:rFonts w:ascii="Garamond" w:hAnsi="Garamond"/>
        </w:rPr>
        <w:t>processes, where distinctions between religion, culture, and everyday practices are fluid and</w:t>
      </w:r>
      <w:r>
        <w:rPr>
          <w:rFonts w:ascii="Garamond" w:hAnsi="Garamond"/>
        </w:rPr>
        <w:t xml:space="preserve"> </w:t>
      </w:r>
      <w:r w:rsidRPr="00BC6036">
        <w:rPr>
          <w:rFonts w:ascii="Garamond" w:hAnsi="Garamond"/>
        </w:rPr>
        <w:t>overlapping. Rituals, cosmological frameworks, and community norms function not as elements</w:t>
      </w:r>
      <w:r>
        <w:rPr>
          <w:rFonts w:ascii="Garamond" w:hAnsi="Garamond"/>
        </w:rPr>
        <w:t xml:space="preserve"> </w:t>
      </w:r>
      <w:r w:rsidRPr="00BC6036">
        <w:rPr>
          <w:rFonts w:ascii="Garamond" w:hAnsi="Garamond"/>
        </w:rPr>
        <w:t>of a discrete institutional system, but as integral aspects of social life. However, in recent</w:t>
      </w:r>
      <w:r>
        <w:rPr>
          <w:rFonts w:ascii="Garamond" w:hAnsi="Garamond"/>
        </w:rPr>
        <w:t xml:space="preserve"> </w:t>
      </w:r>
      <w:r w:rsidRPr="00BC6036">
        <w:rPr>
          <w:rFonts w:ascii="Garamond" w:hAnsi="Garamond"/>
        </w:rPr>
        <w:t>decades, this landscape has undergone significant transformation through the emergence of</w:t>
      </w:r>
      <w:r>
        <w:rPr>
          <w:rFonts w:ascii="Garamond" w:hAnsi="Garamond"/>
        </w:rPr>
        <w:t xml:space="preserve"> </w:t>
      </w:r>
      <w:r w:rsidRPr="00BC6036">
        <w:rPr>
          <w:rFonts w:ascii="Garamond" w:hAnsi="Garamond"/>
        </w:rPr>
        <w:t>reformist movements seeking to preserve and codify indigenous faith, alongside the growing</w:t>
      </w:r>
      <w:r>
        <w:rPr>
          <w:rFonts w:ascii="Garamond" w:hAnsi="Garamond"/>
        </w:rPr>
        <w:t xml:space="preserve"> </w:t>
      </w:r>
      <w:r w:rsidRPr="00BC6036">
        <w:rPr>
          <w:rFonts w:ascii="Garamond" w:hAnsi="Garamond"/>
        </w:rPr>
        <w:t>presence of organized religious institutions and expanding socio-political influences.</w:t>
      </w:r>
    </w:p>
    <w:p w14:paraId="0A319ECA" w14:textId="50B9768C" w:rsidR="00BC6036" w:rsidRDefault="00BC6036" w:rsidP="00BC6036">
      <w:pPr>
        <w:spacing w:line="276" w:lineRule="auto"/>
        <w:jc w:val="both"/>
        <w:rPr>
          <w:rFonts w:ascii="Garamond" w:hAnsi="Garamond"/>
        </w:rPr>
      </w:pPr>
      <w:r w:rsidRPr="00BC6036">
        <w:rPr>
          <w:rFonts w:ascii="Garamond" w:hAnsi="Garamond"/>
        </w:rPr>
        <w:t>This paper examines how these intersecting forces contribute to the reconfiguration of what is</w:t>
      </w:r>
      <w:r>
        <w:rPr>
          <w:rFonts w:ascii="Garamond" w:hAnsi="Garamond"/>
        </w:rPr>
        <w:t xml:space="preserve"> </w:t>
      </w:r>
      <w:r w:rsidRPr="00BC6036">
        <w:rPr>
          <w:rFonts w:ascii="Garamond" w:hAnsi="Garamond"/>
        </w:rPr>
        <w:t>identified and articulated as “religion” in the Galo context. Reformist initiatives often aim to</w:t>
      </w:r>
      <w:r>
        <w:rPr>
          <w:rFonts w:ascii="Garamond" w:hAnsi="Garamond"/>
        </w:rPr>
        <w:t xml:space="preserve"> </w:t>
      </w:r>
      <w:r w:rsidRPr="00BC6036">
        <w:rPr>
          <w:rFonts w:ascii="Garamond" w:hAnsi="Garamond"/>
        </w:rPr>
        <w:t>standardize practices, formalize belief systems, and distinguish religion from other cultural</w:t>
      </w:r>
      <w:r>
        <w:rPr>
          <w:rFonts w:ascii="Garamond" w:hAnsi="Garamond"/>
        </w:rPr>
        <w:t xml:space="preserve"> </w:t>
      </w:r>
      <w:r w:rsidRPr="00BC6036">
        <w:rPr>
          <w:rFonts w:ascii="Garamond" w:hAnsi="Garamond"/>
        </w:rPr>
        <w:t>domains, thereby producing a more bounded and self-conscious religious identity. At the same</w:t>
      </w:r>
      <w:r>
        <w:rPr>
          <w:rFonts w:ascii="Garamond" w:hAnsi="Garamond"/>
        </w:rPr>
        <w:t xml:space="preserve"> </w:t>
      </w:r>
      <w:r w:rsidRPr="00BC6036">
        <w:rPr>
          <w:rFonts w:ascii="Garamond" w:hAnsi="Garamond"/>
        </w:rPr>
        <w:t>time, everyday practices continue to reflect adaptation, negotiation, and continuity, shaped by</w:t>
      </w:r>
      <w:r>
        <w:rPr>
          <w:rFonts w:ascii="Garamond" w:hAnsi="Garamond"/>
        </w:rPr>
        <w:t xml:space="preserve"> </w:t>
      </w:r>
      <w:r w:rsidRPr="00BC6036">
        <w:rPr>
          <w:rFonts w:ascii="Garamond" w:hAnsi="Garamond"/>
        </w:rPr>
        <w:t>local contexts and lived experiences.</w:t>
      </w:r>
      <w:r>
        <w:rPr>
          <w:rFonts w:ascii="Garamond" w:hAnsi="Garamond"/>
        </w:rPr>
        <w:t xml:space="preserve"> </w:t>
      </w:r>
      <w:r w:rsidRPr="00BC6036">
        <w:rPr>
          <w:rFonts w:ascii="Garamond" w:hAnsi="Garamond"/>
        </w:rPr>
        <w:t>Drawing on historical perspectives and attention to contemporary practices, this study argues that</w:t>
      </w:r>
      <w:r>
        <w:rPr>
          <w:rFonts w:ascii="Garamond" w:hAnsi="Garamond"/>
        </w:rPr>
        <w:t xml:space="preserve"> </w:t>
      </w:r>
      <w:r w:rsidRPr="00BC6036">
        <w:rPr>
          <w:rFonts w:ascii="Garamond" w:hAnsi="Garamond"/>
        </w:rPr>
        <w:t>“religion” among the Galos cannot be understood as a fixed or singular object. Rather, it emerges</w:t>
      </w:r>
      <w:r>
        <w:rPr>
          <w:rFonts w:ascii="Garamond" w:hAnsi="Garamond"/>
        </w:rPr>
        <w:t xml:space="preserve"> </w:t>
      </w:r>
      <w:r w:rsidRPr="00BC6036">
        <w:rPr>
          <w:rFonts w:ascii="Garamond" w:hAnsi="Garamond"/>
        </w:rPr>
        <w:t>as a dynamic and relational process, constituted through ongoing interactions between</w:t>
      </w:r>
      <w:r>
        <w:rPr>
          <w:rFonts w:ascii="Garamond" w:hAnsi="Garamond"/>
        </w:rPr>
        <w:t xml:space="preserve"> </w:t>
      </w:r>
      <w:r w:rsidRPr="00BC6036">
        <w:rPr>
          <w:rFonts w:ascii="Garamond" w:hAnsi="Garamond"/>
        </w:rPr>
        <w:t>indigenous traditions, reform movements, and institutional frameworks. In this sense, “religion”</w:t>
      </w:r>
      <w:r>
        <w:rPr>
          <w:rFonts w:ascii="Garamond" w:hAnsi="Garamond"/>
        </w:rPr>
        <w:t xml:space="preserve"> </w:t>
      </w:r>
      <w:r w:rsidRPr="00BC6036">
        <w:rPr>
          <w:rFonts w:ascii="Garamond" w:hAnsi="Garamond"/>
        </w:rPr>
        <w:t>operates less as an inherent entity and more as an analytical category that highlights shifting</w:t>
      </w:r>
      <w:r>
        <w:rPr>
          <w:rFonts w:ascii="Garamond" w:hAnsi="Garamond"/>
        </w:rPr>
        <w:t xml:space="preserve"> </w:t>
      </w:r>
      <w:r w:rsidRPr="00BC6036">
        <w:rPr>
          <w:rFonts w:ascii="Garamond" w:hAnsi="Garamond"/>
        </w:rPr>
        <w:t>configurations of practice, identity, and meaning.</w:t>
      </w:r>
      <w:r>
        <w:rPr>
          <w:rFonts w:ascii="Garamond" w:hAnsi="Garamond"/>
        </w:rPr>
        <w:t xml:space="preserve"> </w:t>
      </w:r>
      <w:r w:rsidRPr="00BC6036">
        <w:rPr>
          <w:rFonts w:ascii="Garamond" w:hAnsi="Garamond"/>
        </w:rPr>
        <w:t>By grounding theoretical debates in an empirically rich case study, this paper demonstrates how</w:t>
      </w:r>
      <w:r>
        <w:rPr>
          <w:rFonts w:ascii="Garamond" w:hAnsi="Garamond"/>
        </w:rPr>
        <w:t xml:space="preserve"> </w:t>
      </w:r>
      <w:r w:rsidRPr="00BC6036">
        <w:rPr>
          <w:rFonts w:ascii="Garamond" w:hAnsi="Garamond"/>
        </w:rPr>
        <w:t>localized contexts complicate and refine broader discussions on the object of the study of</w:t>
      </w:r>
      <w:r>
        <w:rPr>
          <w:rFonts w:ascii="Garamond" w:hAnsi="Garamond"/>
        </w:rPr>
        <w:t xml:space="preserve"> </w:t>
      </w:r>
      <w:r w:rsidRPr="00BC6036">
        <w:rPr>
          <w:rFonts w:ascii="Garamond" w:hAnsi="Garamond"/>
        </w:rPr>
        <w:t>religion.</w:t>
      </w:r>
    </w:p>
    <w:p w14:paraId="53888FFE" w14:textId="77777777" w:rsidR="00BC6036" w:rsidRDefault="00BC6036" w:rsidP="00BC6036">
      <w:pPr>
        <w:spacing w:line="276" w:lineRule="auto"/>
        <w:jc w:val="both"/>
        <w:rPr>
          <w:rFonts w:ascii="Garamond" w:hAnsi="Garamond"/>
        </w:rPr>
      </w:pPr>
    </w:p>
    <w:p w14:paraId="24736F12" w14:textId="77777777" w:rsidR="00BC6036" w:rsidRDefault="00BC6036" w:rsidP="00BC6036">
      <w:pPr>
        <w:spacing w:line="276" w:lineRule="auto"/>
        <w:jc w:val="both"/>
        <w:rPr>
          <w:rFonts w:ascii="Garamond" w:hAnsi="Garamond"/>
        </w:rPr>
      </w:pPr>
    </w:p>
    <w:p w14:paraId="3DB8850A" w14:textId="77777777" w:rsidR="00DE6111" w:rsidRDefault="00DE6111" w:rsidP="00BC6036">
      <w:pPr>
        <w:spacing w:line="276" w:lineRule="auto"/>
        <w:jc w:val="both"/>
        <w:rPr>
          <w:rFonts w:ascii="Garamond" w:hAnsi="Garamond"/>
        </w:rPr>
      </w:pPr>
    </w:p>
    <w:p w14:paraId="7F489CA7" w14:textId="77777777" w:rsidR="00DE6111" w:rsidRDefault="00DE6111" w:rsidP="00DE6111">
      <w:pPr>
        <w:spacing w:line="276" w:lineRule="auto"/>
        <w:jc w:val="both"/>
        <w:rPr>
          <w:rFonts w:ascii="Garamond" w:hAnsi="Garamond"/>
        </w:rPr>
      </w:pPr>
      <w:proofErr w:type="spellStart"/>
      <w:r w:rsidRPr="009A0DF4">
        <w:rPr>
          <w:rFonts w:ascii="Garamond" w:hAnsi="Garamond"/>
          <w:b/>
          <w:bCs/>
        </w:rPr>
        <w:lastRenderedPageBreak/>
        <w:t>Auswyn</w:t>
      </w:r>
      <w:proofErr w:type="spellEnd"/>
      <w:r w:rsidRPr="009A0DF4">
        <w:rPr>
          <w:rFonts w:ascii="Garamond" w:hAnsi="Garamond"/>
          <w:b/>
          <w:bCs/>
        </w:rPr>
        <w:t xml:space="preserve"> Winter </w:t>
      </w:r>
      <w:proofErr w:type="spellStart"/>
      <w:r w:rsidRPr="009A0DF4">
        <w:rPr>
          <w:rFonts w:ascii="Garamond" w:hAnsi="Garamond"/>
          <w:b/>
          <w:bCs/>
        </w:rPr>
        <w:t>Japang</w:t>
      </w:r>
      <w:proofErr w:type="spellEnd"/>
      <w:r>
        <w:rPr>
          <w:rFonts w:ascii="Garamond" w:hAnsi="Garamond"/>
        </w:rPr>
        <w:t xml:space="preserve"> (</w:t>
      </w:r>
      <w:r w:rsidRPr="009A0DF4">
        <w:rPr>
          <w:rFonts w:ascii="Garamond" w:hAnsi="Garamond"/>
        </w:rPr>
        <w:t>St. Anthony’s College</w:t>
      </w:r>
      <w:r>
        <w:rPr>
          <w:rFonts w:ascii="Garamond" w:hAnsi="Garamond"/>
        </w:rPr>
        <w:t xml:space="preserve">, India) – </w:t>
      </w:r>
      <w:r w:rsidRPr="009A0DF4">
        <w:rPr>
          <w:rFonts w:ascii="Garamond" w:hAnsi="Garamond"/>
        </w:rPr>
        <w:t>Ka Thung-</w:t>
      </w:r>
      <w:proofErr w:type="spellStart"/>
      <w:r w:rsidRPr="009A0DF4">
        <w:rPr>
          <w:rFonts w:ascii="Garamond" w:hAnsi="Garamond"/>
        </w:rPr>
        <w:t>Syiem</w:t>
      </w:r>
      <w:proofErr w:type="spellEnd"/>
      <w:r w:rsidRPr="009A0DF4">
        <w:rPr>
          <w:rFonts w:ascii="Garamond" w:hAnsi="Garamond"/>
        </w:rPr>
        <w:t xml:space="preserve"> Thang-</w:t>
      </w:r>
      <w:proofErr w:type="spellStart"/>
      <w:r w:rsidRPr="009A0DF4">
        <w:rPr>
          <w:rFonts w:ascii="Garamond" w:hAnsi="Garamond"/>
        </w:rPr>
        <w:t>Syiem</w:t>
      </w:r>
      <w:proofErr w:type="spellEnd"/>
      <w:r w:rsidRPr="009A0DF4">
        <w:rPr>
          <w:rFonts w:ascii="Garamond" w:hAnsi="Garamond"/>
        </w:rPr>
        <w:t xml:space="preserve"> </w:t>
      </w:r>
      <w:proofErr w:type="spellStart"/>
      <w:r w:rsidRPr="009A0DF4">
        <w:rPr>
          <w:rFonts w:ascii="Garamond" w:hAnsi="Garamond"/>
        </w:rPr>
        <w:t>Sohra</w:t>
      </w:r>
      <w:proofErr w:type="spellEnd"/>
      <w:r w:rsidRPr="009A0DF4">
        <w:rPr>
          <w:rFonts w:ascii="Garamond" w:hAnsi="Garamond"/>
        </w:rPr>
        <w:t xml:space="preserve">: Analysing Niam </w:t>
      </w:r>
      <w:proofErr w:type="spellStart"/>
      <w:r w:rsidRPr="009A0DF4">
        <w:rPr>
          <w:rFonts w:ascii="Garamond" w:hAnsi="Garamond"/>
        </w:rPr>
        <w:t>Ïap</w:t>
      </w:r>
      <w:proofErr w:type="spellEnd"/>
      <w:r w:rsidRPr="009A0DF4">
        <w:rPr>
          <w:rFonts w:ascii="Garamond" w:hAnsi="Garamond"/>
        </w:rPr>
        <w:t xml:space="preserve"> and Ritual Relations in a Khasi Chiefdom</w:t>
      </w:r>
    </w:p>
    <w:p w14:paraId="10AE5134" w14:textId="77777777" w:rsidR="00DE6111" w:rsidRPr="00DE6111" w:rsidRDefault="00DE6111" w:rsidP="00DE6111">
      <w:pPr>
        <w:spacing w:line="276" w:lineRule="auto"/>
        <w:jc w:val="both"/>
        <w:rPr>
          <w:rFonts w:ascii="Garamond" w:hAnsi="Garamond"/>
          <w:lang w:val="en-IN"/>
        </w:rPr>
      </w:pPr>
      <w:r w:rsidRPr="00DE6111">
        <w:rPr>
          <w:rFonts w:ascii="Garamond" w:hAnsi="Garamond"/>
          <w:lang w:val="en-IN"/>
        </w:rPr>
        <w:t xml:space="preserve">In recent decades, the study of religion has shifted from treating “religion” as a discrete, static entity toward understanding it through relational, lived, and postcolonial paradigms. This paper provides an empirical case study of Ka Niam </w:t>
      </w:r>
      <w:proofErr w:type="spellStart"/>
      <w:r w:rsidRPr="00DE6111">
        <w:rPr>
          <w:rFonts w:ascii="Garamond" w:hAnsi="Garamond"/>
          <w:lang w:val="en-IN"/>
        </w:rPr>
        <w:t>Ïap</w:t>
      </w:r>
      <w:proofErr w:type="spellEnd"/>
      <w:r w:rsidRPr="00DE6111">
        <w:rPr>
          <w:rFonts w:ascii="Garamond" w:hAnsi="Garamond"/>
          <w:lang w:val="en-IN"/>
        </w:rPr>
        <w:t xml:space="preserve"> (the Rite of the Dead) within Hima </w:t>
      </w:r>
      <w:proofErr w:type="spellStart"/>
      <w:r w:rsidRPr="00DE6111">
        <w:rPr>
          <w:rFonts w:ascii="Garamond" w:hAnsi="Garamond"/>
          <w:lang w:val="en-IN"/>
        </w:rPr>
        <w:t>Sohra</w:t>
      </w:r>
      <w:proofErr w:type="spellEnd"/>
      <w:r w:rsidRPr="00DE6111">
        <w:rPr>
          <w:rFonts w:ascii="Garamond" w:hAnsi="Garamond"/>
          <w:lang w:val="en-IN"/>
        </w:rPr>
        <w:t>, Meghalaya, to analyse how religious “objects” are constructed and contested through oral tradition (</w:t>
      </w:r>
      <w:r w:rsidRPr="00DE6111">
        <w:rPr>
          <w:rFonts w:ascii="Garamond" w:hAnsi="Garamond"/>
          <w:i/>
          <w:iCs/>
          <w:lang w:val="en-IN"/>
        </w:rPr>
        <w:t>lore</w:t>
      </w:r>
      <w:r w:rsidRPr="00DE6111">
        <w:rPr>
          <w:rFonts w:ascii="Garamond" w:hAnsi="Garamond"/>
          <w:lang w:val="en-IN"/>
        </w:rPr>
        <w:t xml:space="preserve">) and ritual space. Centred on the </w:t>
      </w:r>
      <w:proofErr w:type="spellStart"/>
      <w:r w:rsidRPr="00DE6111">
        <w:rPr>
          <w:rFonts w:ascii="Garamond" w:hAnsi="Garamond"/>
          <w:lang w:val="en-IN"/>
        </w:rPr>
        <w:t>thung-syiem</w:t>
      </w:r>
      <w:proofErr w:type="spellEnd"/>
      <w:r w:rsidRPr="00DE6111">
        <w:rPr>
          <w:rFonts w:ascii="Garamond" w:hAnsi="Garamond"/>
          <w:lang w:val="en-IN"/>
        </w:rPr>
        <w:t xml:space="preserve"> thang-</w:t>
      </w:r>
      <w:proofErr w:type="spellStart"/>
      <w:r w:rsidRPr="00DE6111">
        <w:rPr>
          <w:rFonts w:ascii="Garamond" w:hAnsi="Garamond"/>
          <w:lang w:val="en-IN"/>
        </w:rPr>
        <w:t>syiem</w:t>
      </w:r>
      <w:proofErr w:type="spellEnd"/>
      <w:r w:rsidRPr="00DE6111">
        <w:rPr>
          <w:rFonts w:ascii="Garamond" w:hAnsi="Garamond"/>
          <w:lang w:val="en-IN"/>
        </w:rPr>
        <w:t xml:space="preserve"> (coronation and cremation) of the </w:t>
      </w:r>
      <w:proofErr w:type="spellStart"/>
      <w:r w:rsidRPr="00DE6111">
        <w:rPr>
          <w:rFonts w:ascii="Garamond" w:hAnsi="Garamond"/>
          <w:lang w:val="en-IN"/>
        </w:rPr>
        <w:t>Sohra</w:t>
      </w:r>
      <w:proofErr w:type="spellEnd"/>
      <w:r w:rsidRPr="00DE6111">
        <w:rPr>
          <w:rFonts w:ascii="Garamond" w:hAnsi="Garamond"/>
          <w:lang w:val="en-IN"/>
        </w:rPr>
        <w:t xml:space="preserve"> chief, this ritual serves as a critical site for understanding the intersection of spiritual legitimacy and political authority in Khasi (</w:t>
      </w:r>
      <w:proofErr w:type="spellStart"/>
      <w:r w:rsidRPr="00DE6111">
        <w:rPr>
          <w:rFonts w:ascii="Garamond" w:hAnsi="Garamond"/>
          <w:lang w:val="en-IN"/>
        </w:rPr>
        <w:t>Sohra</w:t>
      </w:r>
      <w:proofErr w:type="spellEnd"/>
      <w:r w:rsidRPr="00DE6111">
        <w:rPr>
          <w:rFonts w:ascii="Garamond" w:hAnsi="Garamond"/>
          <w:lang w:val="en-IN"/>
        </w:rPr>
        <w:t>) society.</w:t>
      </w:r>
    </w:p>
    <w:p w14:paraId="0A6DFF60" w14:textId="77777777" w:rsidR="00DE6111" w:rsidRPr="00DE6111" w:rsidRDefault="00DE6111" w:rsidP="00DE6111">
      <w:pPr>
        <w:spacing w:line="276" w:lineRule="auto"/>
        <w:jc w:val="both"/>
        <w:rPr>
          <w:rFonts w:ascii="Garamond" w:hAnsi="Garamond"/>
          <w:lang w:val="en-IN"/>
        </w:rPr>
      </w:pPr>
      <w:r w:rsidRPr="00DE6111">
        <w:rPr>
          <w:rFonts w:ascii="Garamond" w:hAnsi="Garamond"/>
          <w:lang w:val="en-IN"/>
        </w:rPr>
        <w:t xml:space="preserve">The study examines the divergent yet interconnected ritual roles of two specific communes: </w:t>
      </w:r>
      <w:proofErr w:type="spellStart"/>
      <w:r w:rsidRPr="00DE6111">
        <w:rPr>
          <w:rFonts w:ascii="Garamond" w:hAnsi="Garamond"/>
          <w:lang w:val="en-IN"/>
        </w:rPr>
        <w:t>Mawshuit</w:t>
      </w:r>
      <w:proofErr w:type="spellEnd"/>
      <w:r w:rsidRPr="00DE6111">
        <w:rPr>
          <w:rFonts w:ascii="Garamond" w:hAnsi="Garamond"/>
          <w:lang w:val="en-IN"/>
        </w:rPr>
        <w:t xml:space="preserve"> and </w:t>
      </w:r>
      <w:proofErr w:type="spellStart"/>
      <w:r w:rsidRPr="00DE6111">
        <w:rPr>
          <w:rFonts w:ascii="Garamond" w:hAnsi="Garamond"/>
          <w:lang w:val="en-IN"/>
        </w:rPr>
        <w:t>Mawmang</w:t>
      </w:r>
      <w:proofErr w:type="spellEnd"/>
      <w:r w:rsidRPr="00DE6111">
        <w:rPr>
          <w:rFonts w:ascii="Garamond" w:hAnsi="Garamond"/>
          <w:lang w:val="en-IN"/>
        </w:rPr>
        <w:t xml:space="preserve">. </w:t>
      </w:r>
      <w:proofErr w:type="spellStart"/>
      <w:r w:rsidRPr="00DE6111">
        <w:rPr>
          <w:rFonts w:ascii="Garamond" w:hAnsi="Garamond"/>
          <w:lang w:val="en-IN"/>
        </w:rPr>
        <w:t>Mawshuit</w:t>
      </w:r>
      <w:proofErr w:type="spellEnd"/>
      <w:r w:rsidRPr="00DE6111">
        <w:rPr>
          <w:rFonts w:ascii="Garamond" w:hAnsi="Garamond"/>
          <w:lang w:val="en-IN"/>
        </w:rPr>
        <w:t xml:space="preserve">, recognized as the eldest </w:t>
      </w:r>
      <w:r w:rsidRPr="00DE6111">
        <w:rPr>
          <w:rFonts w:ascii="Garamond" w:hAnsi="Garamond"/>
          <w:i/>
          <w:iCs/>
          <w:lang w:val="en-IN"/>
        </w:rPr>
        <w:t>raid</w:t>
      </w:r>
      <w:r w:rsidRPr="00DE6111">
        <w:rPr>
          <w:rFonts w:ascii="Garamond" w:hAnsi="Garamond"/>
          <w:lang w:val="en-IN"/>
        </w:rPr>
        <w:t xml:space="preserve"> (commune land) and the initiator of the chiefdom’s rites, functions as a political and religious powerhouse. Its role in validating successors through the successful completion of the </w:t>
      </w:r>
      <w:r w:rsidRPr="00DE6111">
        <w:rPr>
          <w:rFonts w:ascii="Garamond" w:hAnsi="Garamond"/>
          <w:i/>
          <w:iCs/>
          <w:lang w:val="en-IN"/>
        </w:rPr>
        <w:t xml:space="preserve">Niam </w:t>
      </w:r>
      <w:proofErr w:type="spellStart"/>
      <w:r w:rsidRPr="00DE6111">
        <w:rPr>
          <w:rFonts w:ascii="Garamond" w:hAnsi="Garamond"/>
          <w:i/>
          <w:iCs/>
          <w:lang w:val="en-IN"/>
        </w:rPr>
        <w:t>Ïap</w:t>
      </w:r>
      <w:proofErr w:type="spellEnd"/>
      <w:r w:rsidRPr="00DE6111">
        <w:rPr>
          <w:rFonts w:ascii="Garamond" w:hAnsi="Garamond"/>
          <w:lang w:val="en-IN"/>
        </w:rPr>
        <w:t xml:space="preserve"> is documented in formal records, positioning it as the institutionalized custodian of the “</w:t>
      </w:r>
      <w:proofErr w:type="spellStart"/>
      <w:r w:rsidRPr="00DE6111">
        <w:rPr>
          <w:rFonts w:ascii="Garamond" w:hAnsi="Garamond"/>
          <w:lang w:val="en-IN"/>
        </w:rPr>
        <w:t>Syiem</w:t>
      </w:r>
      <w:proofErr w:type="spellEnd"/>
      <w:r w:rsidRPr="00DE6111">
        <w:rPr>
          <w:rFonts w:ascii="Garamond" w:hAnsi="Garamond"/>
          <w:lang w:val="en-IN"/>
        </w:rPr>
        <w:t xml:space="preserve"> Niam” (Religious Chief). Conversely, the community of </w:t>
      </w:r>
      <w:proofErr w:type="spellStart"/>
      <w:r w:rsidRPr="00DE6111">
        <w:rPr>
          <w:rFonts w:ascii="Garamond" w:hAnsi="Garamond"/>
          <w:lang w:val="en-IN"/>
        </w:rPr>
        <w:t>Mawmang</w:t>
      </w:r>
      <w:proofErr w:type="spellEnd"/>
      <w:r w:rsidRPr="00DE6111">
        <w:rPr>
          <w:rFonts w:ascii="Garamond" w:hAnsi="Garamond"/>
          <w:lang w:val="en-IN"/>
        </w:rPr>
        <w:t xml:space="preserve"> preserves a “marginal” narrative of Ka Niam </w:t>
      </w:r>
      <w:proofErr w:type="spellStart"/>
      <w:r w:rsidRPr="00DE6111">
        <w:rPr>
          <w:rFonts w:ascii="Garamond" w:hAnsi="Garamond"/>
          <w:lang w:val="en-IN"/>
        </w:rPr>
        <w:t>Im</w:t>
      </w:r>
      <w:proofErr w:type="spellEnd"/>
      <w:r w:rsidRPr="00DE6111">
        <w:rPr>
          <w:rFonts w:ascii="Garamond" w:hAnsi="Garamond"/>
          <w:lang w:val="en-IN"/>
        </w:rPr>
        <w:t xml:space="preserve"> (the Rite of the Living), which identifies </w:t>
      </w:r>
      <w:proofErr w:type="spellStart"/>
      <w:r w:rsidRPr="00DE6111">
        <w:rPr>
          <w:rFonts w:ascii="Garamond" w:hAnsi="Garamond"/>
          <w:lang w:val="en-IN"/>
        </w:rPr>
        <w:t>Mawmang</w:t>
      </w:r>
      <w:proofErr w:type="spellEnd"/>
      <w:r w:rsidRPr="00DE6111">
        <w:rPr>
          <w:rFonts w:ascii="Garamond" w:hAnsi="Garamond"/>
          <w:lang w:val="en-IN"/>
        </w:rPr>
        <w:t xml:space="preserve"> as the ancestral refuge of the chiefdom’s foundress, Ka Bania. Though essential to the community’s collective memory, this narrative is largely excluded from dominant historical discourses, illustrating a tension between institutionalized ritual and suppressed orality.</w:t>
      </w:r>
    </w:p>
    <w:p w14:paraId="38EAC44B" w14:textId="77777777" w:rsidR="00DE6111" w:rsidRPr="00DE6111" w:rsidRDefault="00DE6111" w:rsidP="00DE6111">
      <w:pPr>
        <w:spacing w:line="276" w:lineRule="auto"/>
        <w:jc w:val="both"/>
        <w:rPr>
          <w:rFonts w:ascii="Garamond" w:hAnsi="Garamond"/>
          <w:lang w:val="en-IN"/>
        </w:rPr>
      </w:pPr>
      <w:r w:rsidRPr="00DE6111">
        <w:rPr>
          <w:rFonts w:ascii="Garamond" w:hAnsi="Garamond"/>
          <w:lang w:val="en-IN"/>
        </w:rPr>
        <w:t>By applying a heuristic lens to these “belief narratives,” this paper explores how ritual knowledge acts as a “territorial passage” that reinforces identity within the larger Khasi collective. This case study addresses the workshop’s central question regarding the “object” of study by demonstrating that religious sovereignty is not a fixed historical fact, but a fluid negotiation between recorded rites and living lore. Ultimately, the research suggests that the study of religion in indigenous contexts must look beyond formal structures to the “lived” psychological continuity found in suspended or dormant ritual traditions.</w:t>
      </w:r>
    </w:p>
    <w:p w14:paraId="7A3285EC" w14:textId="77777777" w:rsidR="00DE6111" w:rsidRDefault="00DE6111" w:rsidP="00BC6036">
      <w:pPr>
        <w:spacing w:line="276" w:lineRule="auto"/>
        <w:jc w:val="both"/>
        <w:rPr>
          <w:rFonts w:ascii="Garamond" w:hAnsi="Garamond"/>
          <w:lang w:val="en-IN"/>
        </w:rPr>
      </w:pPr>
    </w:p>
    <w:p w14:paraId="2C849725" w14:textId="77777777" w:rsidR="00DE6111" w:rsidRDefault="00DE6111" w:rsidP="00DE6111">
      <w:pPr>
        <w:spacing w:line="276" w:lineRule="auto"/>
        <w:jc w:val="both"/>
        <w:rPr>
          <w:rFonts w:ascii="Garamond" w:hAnsi="Garamond"/>
        </w:rPr>
      </w:pPr>
      <w:r w:rsidRPr="009A0DF4">
        <w:rPr>
          <w:rFonts w:ascii="Garamond" w:hAnsi="Garamond"/>
          <w:b/>
          <w:bCs/>
        </w:rPr>
        <w:t>Tova Makhani-Belkin</w:t>
      </w:r>
      <w:r>
        <w:rPr>
          <w:rFonts w:ascii="Garamond" w:hAnsi="Garamond"/>
        </w:rPr>
        <w:t xml:space="preserve"> (</w:t>
      </w:r>
      <w:r w:rsidRPr="009A0DF4">
        <w:rPr>
          <w:rFonts w:ascii="Garamond" w:hAnsi="Garamond"/>
        </w:rPr>
        <w:t>University of Galway</w:t>
      </w:r>
      <w:r>
        <w:rPr>
          <w:rFonts w:ascii="Garamond" w:hAnsi="Garamond"/>
        </w:rPr>
        <w:t xml:space="preserve">, Ireland) – </w:t>
      </w:r>
      <w:r w:rsidRPr="009A0DF4">
        <w:rPr>
          <w:rFonts w:ascii="Garamond" w:hAnsi="Garamond"/>
        </w:rPr>
        <w:t>Studying Religion Without an Object: Ethnographic Insights from the Bahá’í Faith</w:t>
      </w:r>
    </w:p>
    <w:p w14:paraId="7424DEFF" w14:textId="4637EC6E" w:rsidR="00DE6111" w:rsidRPr="00DE6111" w:rsidRDefault="00DE6111" w:rsidP="00DE6111">
      <w:pPr>
        <w:spacing w:line="276" w:lineRule="auto"/>
        <w:jc w:val="both"/>
        <w:rPr>
          <w:rFonts w:ascii="Garamond" w:hAnsi="Garamond"/>
          <w:lang w:val="en-US"/>
        </w:rPr>
      </w:pPr>
      <w:r w:rsidRPr="00DE6111">
        <w:rPr>
          <w:rFonts w:ascii="Garamond" w:hAnsi="Garamond"/>
          <w:lang w:val="en-US"/>
        </w:rPr>
        <w:t>Recent debates in the study of religion have questioned whether religion can be treated as a clearly defined object of study. Scholars increasingly emphasize analytical categories and heuristic tools rather than fixed definitions. This paper engages these debates through an ethnographic case study of the Bahá’í Faith in Ireland.</w:t>
      </w:r>
      <w:r>
        <w:rPr>
          <w:rFonts w:ascii="Garamond" w:hAnsi="Garamond"/>
          <w:lang w:val="en-US"/>
        </w:rPr>
        <w:t xml:space="preserve"> </w:t>
      </w:r>
      <w:r w:rsidRPr="00DE6111">
        <w:rPr>
          <w:rFonts w:ascii="Garamond" w:hAnsi="Garamond"/>
          <w:lang w:val="en-US"/>
        </w:rPr>
        <w:t>The Bahá’í Faith presents a particularly relevant case, as it lacks clergy, formal places of worship, and standardized ritual practices. As a relatively young faith, it is still in the process of developing widely recognized traditions. Furthermore, grassroots activities such as devotionals and study circles are open to all, and in many cases, non-</w:t>
      </w:r>
      <w:proofErr w:type="spellStart"/>
      <w:r w:rsidRPr="00DE6111">
        <w:rPr>
          <w:rFonts w:ascii="Garamond" w:hAnsi="Garamond"/>
          <w:lang w:val="en-US"/>
        </w:rPr>
        <w:t>Bahá’ís</w:t>
      </w:r>
      <w:proofErr w:type="spellEnd"/>
      <w:r w:rsidRPr="00DE6111">
        <w:rPr>
          <w:rFonts w:ascii="Garamond" w:hAnsi="Garamond"/>
          <w:lang w:val="en-US"/>
        </w:rPr>
        <w:t xml:space="preserve"> comprise </w:t>
      </w:r>
      <w:proofErr w:type="gramStart"/>
      <w:r w:rsidRPr="00DE6111">
        <w:rPr>
          <w:rFonts w:ascii="Garamond" w:hAnsi="Garamond"/>
          <w:lang w:val="en-US"/>
        </w:rPr>
        <w:t>the majority of</w:t>
      </w:r>
      <w:proofErr w:type="gramEnd"/>
      <w:r w:rsidRPr="00DE6111">
        <w:rPr>
          <w:rFonts w:ascii="Garamond" w:hAnsi="Garamond"/>
          <w:lang w:val="en-US"/>
        </w:rPr>
        <w:t xml:space="preserve"> participants. These characteristics raise the question of what becomes the object of study when traditional institutional markers of religion are minimal or absent.</w:t>
      </w:r>
    </w:p>
    <w:p w14:paraId="29AC7FDE" w14:textId="77777777" w:rsidR="00DE6111" w:rsidRDefault="00DE6111" w:rsidP="00DE6111">
      <w:pPr>
        <w:spacing w:line="276" w:lineRule="auto"/>
        <w:jc w:val="both"/>
        <w:rPr>
          <w:rFonts w:ascii="Garamond" w:hAnsi="Garamond"/>
          <w:lang w:val="en-US"/>
        </w:rPr>
      </w:pPr>
      <w:r w:rsidRPr="00DE6111">
        <w:rPr>
          <w:rFonts w:ascii="Garamond" w:hAnsi="Garamond"/>
          <w:lang w:val="en-US"/>
        </w:rPr>
        <w:t xml:space="preserve">This study draws on long-term ethnographic fieldwork within the Bahá’í community in Ireland. Interlocutors describe religious identity and practice through everyday life, ethical commitments, and social relationships grounded in theological concepts such as progressive revelation. In </w:t>
      </w:r>
      <w:r w:rsidRPr="00DE6111">
        <w:rPr>
          <w:rFonts w:ascii="Garamond" w:hAnsi="Garamond"/>
          <w:lang w:val="en-US"/>
        </w:rPr>
        <w:lastRenderedPageBreak/>
        <w:t>contexts where religion lacks visible institutional markers, personal narratives become central to ethnographic analysis. Life stories emerge as primary sources through which religious identity, ethical commitments, and social relationships are articulated and understood.</w:t>
      </w:r>
      <w:r>
        <w:rPr>
          <w:rFonts w:ascii="Garamond" w:hAnsi="Garamond"/>
          <w:lang w:val="en-US"/>
        </w:rPr>
        <w:t xml:space="preserve"> </w:t>
      </w:r>
    </w:p>
    <w:p w14:paraId="382677A4" w14:textId="2605CFE7" w:rsidR="00DE6111" w:rsidRPr="00DE6111" w:rsidRDefault="00DE6111" w:rsidP="00DE6111">
      <w:pPr>
        <w:spacing w:line="276" w:lineRule="auto"/>
        <w:jc w:val="both"/>
        <w:rPr>
          <w:rFonts w:ascii="Garamond" w:hAnsi="Garamond"/>
          <w:lang w:val="en-US"/>
        </w:rPr>
      </w:pPr>
      <w:r w:rsidRPr="00DE6111">
        <w:rPr>
          <w:rFonts w:ascii="Garamond" w:hAnsi="Garamond"/>
          <w:lang w:val="en-US"/>
        </w:rPr>
        <w:t>The Bahá’í Faith challenges conventional assumptions about the sacred, institutional authority, community boundaries, and gender roles, suggesting that religion may emerge through grassroots activities, relationships with non-</w:t>
      </w:r>
      <w:proofErr w:type="spellStart"/>
      <w:r w:rsidRPr="00DE6111">
        <w:rPr>
          <w:rFonts w:ascii="Garamond" w:hAnsi="Garamond"/>
          <w:lang w:val="en-US"/>
        </w:rPr>
        <w:t>Bahá’ís</w:t>
      </w:r>
      <w:proofErr w:type="spellEnd"/>
      <w:r w:rsidRPr="00DE6111">
        <w:rPr>
          <w:rFonts w:ascii="Garamond" w:hAnsi="Garamond"/>
          <w:lang w:val="en-US"/>
        </w:rPr>
        <w:t>, and everyday ethical commitments rather than through clearly bounded institutional forms.</w:t>
      </w:r>
      <w:r>
        <w:rPr>
          <w:rFonts w:ascii="Garamond" w:hAnsi="Garamond"/>
          <w:lang w:val="en-US"/>
        </w:rPr>
        <w:t xml:space="preserve"> </w:t>
      </w:r>
      <w:r w:rsidRPr="00DE6111">
        <w:rPr>
          <w:rFonts w:ascii="Garamond" w:hAnsi="Garamond"/>
          <w:lang w:val="en-US"/>
        </w:rPr>
        <w:t xml:space="preserve">The debate is not only about what religion is without an object, but also about how it should be studied. In the case of the Bahá’í Faith, many established theories and key analytical terms in the study of religion, such as institutional authority, clergy, ritual, boundaries, and conversion, do not easily apply. This calls for a reexamination of existing theoretical frameworks and the development of new analytical concepts. </w:t>
      </w:r>
      <w:proofErr w:type="gramStart"/>
      <w:r w:rsidRPr="00DE6111">
        <w:rPr>
          <w:rFonts w:ascii="Garamond" w:hAnsi="Garamond"/>
          <w:lang w:val="en-US"/>
        </w:rPr>
        <w:t>Similar to</w:t>
      </w:r>
      <w:proofErr w:type="gramEnd"/>
      <w:r w:rsidRPr="00DE6111">
        <w:rPr>
          <w:rFonts w:ascii="Garamond" w:hAnsi="Garamond"/>
          <w:lang w:val="en-US"/>
        </w:rPr>
        <w:t xml:space="preserve"> how the concept of religious conversion has been reconsidered in favor of religious progression (Makhani-Belkin, 2023), the Bahá’í case suggests the need to rethink and refine the theoretical tools used to study religion.</w:t>
      </w:r>
    </w:p>
    <w:p w14:paraId="4E80E308" w14:textId="77777777" w:rsidR="00DE6111" w:rsidRDefault="00DE6111" w:rsidP="00BC6036">
      <w:pPr>
        <w:spacing w:line="276" w:lineRule="auto"/>
        <w:jc w:val="both"/>
        <w:rPr>
          <w:rFonts w:ascii="Garamond" w:hAnsi="Garamond"/>
          <w:lang w:val="en-US"/>
        </w:rPr>
      </w:pPr>
    </w:p>
    <w:p w14:paraId="1B6F11EB" w14:textId="69FBD6D9" w:rsidR="00DE6111" w:rsidRDefault="00DE6111" w:rsidP="00BC6036">
      <w:pPr>
        <w:spacing w:line="276" w:lineRule="auto"/>
        <w:jc w:val="both"/>
        <w:rPr>
          <w:rFonts w:ascii="Garamond" w:hAnsi="Garamond"/>
          <w:b/>
          <w:bCs/>
          <w:lang w:val="en-US"/>
        </w:rPr>
      </w:pPr>
      <w:r>
        <w:rPr>
          <w:rFonts w:ascii="Garamond" w:hAnsi="Garamond"/>
          <w:b/>
          <w:bCs/>
          <w:lang w:val="en-US"/>
        </w:rPr>
        <w:t>August 20</w:t>
      </w:r>
    </w:p>
    <w:p w14:paraId="163CC711" w14:textId="77777777" w:rsidR="00DE6111" w:rsidRDefault="00DE6111" w:rsidP="00DE6111">
      <w:pPr>
        <w:spacing w:line="276" w:lineRule="auto"/>
        <w:jc w:val="both"/>
        <w:rPr>
          <w:rFonts w:ascii="Garamond" w:hAnsi="Garamond"/>
        </w:rPr>
      </w:pPr>
      <w:r>
        <w:rPr>
          <w:rFonts w:ascii="Garamond" w:hAnsi="Garamond"/>
          <w:b/>
          <w:bCs/>
        </w:rPr>
        <w:t>James L. Cox</w:t>
      </w:r>
      <w:r>
        <w:rPr>
          <w:rFonts w:ascii="Garamond" w:hAnsi="Garamond"/>
        </w:rPr>
        <w:t xml:space="preserve"> (University of Edinburgh, UK) – </w:t>
      </w:r>
      <w:r w:rsidRPr="007A5E3F">
        <w:rPr>
          <w:rFonts w:ascii="Garamond" w:hAnsi="Garamond"/>
        </w:rPr>
        <w:t>Defining the Object of Study Relationally: The Repatriation of Knowledge Project in Central Australia</w:t>
      </w:r>
    </w:p>
    <w:p w14:paraId="04BBFF3F" w14:textId="45106E62" w:rsidR="00DE6111" w:rsidRDefault="00DE6111" w:rsidP="00BC6036">
      <w:pPr>
        <w:spacing w:line="276" w:lineRule="auto"/>
        <w:jc w:val="both"/>
        <w:rPr>
          <w:rFonts w:ascii="Garamond" w:hAnsi="Garamond"/>
        </w:rPr>
      </w:pPr>
      <w:r w:rsidRPr="00DE6111">
        <w:rPr>
          <w:rFonts w:ascii="Garamond" w:hAnsi="Garamond"/>
        </w:rPr>
        <w:t xml:space="preserve">Research projects typically begin with academics identifying a problem or problems that remain unsolved in prior scholarly investigations. When this process is applied to the study of religious communities, such gaps in knowledge define the parameters within which research questions are formed and determine the direction the plan for investigating them unfolds. This traditional way of creating a research programme tells us a great deal about researchers themselves and the academic institutions which support their projects but reveals very little about the concerns of the communities that are being investigated. This paper suggests that the object of research into religious communities needs to be rethought in relational terms whereby the communities that typically form the focus for the research project become active participants in formulating the goals, procedures and outcomes of the investigation, whether the problem which motivated the academic proposal is addressed or not. This makes the object of research dialogical, open and responsive to both the academic aims of the researcher and the fundamental interests of communities the academic wishes to study. This frequently results in action research where practical issues confronting local communities come to the forefront in ways that reverse the traditional pattern of academic research from ones dictated by scholarly interests to ones that incorporate community aims. This paper exemplifies how this process has worked in practice by examining the case of the repatriation of knowledge project in Central Australia where regional kinship groups are seeking to recover knowledge of ancient traditions that were suppressed under colonial and missionary influences. In this instance, local concerns have coalesced with the aims of academic researchers to promote understanding and tolerance of Indigenous ways of life among the wider Australian population with practical effects on legal interpretations of Indigenous land claims and in support of cultural revival movements.  </w:t>
      </w:r>
    </w:p>
    <w:p w14:paraId="034A704B" w14:textId="77777777" w:rsidR="00DE6111" w:rsidRDefault="00DE6111" w:rsidP="00BC6036">
      <w:pPr>
        <w:spacing w:line="276" w:lineRule="auto"/>
        <w:jc w:val="both"/>
        <w:rPr>
          <w:rFonts w:ascii="Garamond" w:hAnsi="Garamond"/>
        </w:rPr>
      </w:pPr>
    </w:p>
    <w:p w14:paraId="488BD766" w14:textId="77777777" w:rsidR="00DE6111" w:rsidRDefault="00DE6111" w:rsidP="00DE6111">
      <w:pPr>
        <w:spacing w:line="276" w:lineRule="auto"/>
        <w:jc w:val="both"/>
        <w:rPr>
          <w:rFonts w:ascii="Garamond" w:hAnsi="Garamond"/>
        </w:rPr>
      </w:pPr>
      <w:r w:rsidRPr="00EA4320">
        <w:rPr>
          <w:rFonts w:ascii="Garamond" w:hAnsi="Garamond"/>
          <w:b/>
          <w:bCs/>
        </w:rPr>
        <w:lastRenderedPageBreak/>
        <w:t xml:space="preserve">Isis </w:t>
      </w:r>
      <w:proofErr w:type="spellStart"/>
      <w:r w:rsidRPr="00EA4320">
        <w:rPr>
          <w:rFonts w:ascii="Garamond" w:hAnsi="Garamond"/>
          <w:b/>
          <w:bCs/>
        </w:rPr>
        <w:t>Mrugalla</w:t>
      </w:r>
      <w:proofErr w:type="spellEnd"/>
      <w:r w:rsidRPr="00EA4320">
        <w:rPr>
          <w:rFonts w:ascii="Garamond" w:hAnsi="Garamond"/>
          <w:b/>
          <w:bCs/>
        </w:rPr>
        <w:t>-Kalmbacher</w:t>
      </w:r>
      <w:r>
        <w:rPr>
          <w:rFonts w:ascii="Garamond" w:hAnsi="Garamond"/>
        </w:rPr>
        <w:t xml:space="preserve"> (University of Tübingen, Germany) – </w:t>
      </w:r>
      <w:r w:rsidRPr="00EA4320">
        <w:rPr>
          <w:rFonts w:ascii="Garamond" w:hAnsi="Garamond"/>
        </w:rPr>
        <w:t>Periscopes and Ontologies:</w:t>
      </w:r>
      <w:r>
        <w:rPr>
          <w:rFonts w:ascii="Garamond" w:hAnsi="Garamond"/>
        </w:rPr>
        <w:t xml:space="preserve"> </w:t>
      </w:r>
      <w:r w:rsidRPr="00EA4320">
        <w:rPr>
          <w:rFonts w:ascii="Garamond" w:hAnsi="Garamond"/>
        </w:rPr>
        <w:t>Towards an Engaged Approach to the Study of Religions</w:t>
      </w:r>
    </w:p>
    <w:p w14:paraId="1800A9A8" w14:textId="6FA881D4" w:rsidR="00DE6111" w:rsidRPr="00DE6111" w:rsidRDefault="00DE6111" w:rsidP="00DE6111">
      <w:pPr>
        <w:spacing w:line="276" w:lineRule="auto"/>
        <w:jc w:val="both"/>
        <w:rPr>
          <w:rFonts w:ascii="Garamond" w:hAnsi="Garamond"/>
        </w:rPr>
      </w:pPr>
      <w:r w:rsidRPr="00DE6111">
        <w:rPr>
          <w:rFonts w:ascii="Garamond" w:hAnsi="Garamond"/>
        </w:rPr>
        <w:t>Voicing opinions on helpful research objects for the Study of Religions also constitutes a</w:t>
      </w:r>
      <w:r>
        <w:rPr>
          <w:rFonts w:ascii="Garamond" w:hAnsi="Garamond"/>
        </w:rPr>
        <w:t xml:space="preserve"> </w:t>
      </w:r>
      <w:r w:rsidRPr="00DE6111">
        <w:rPr>
          <w:rFonts w:ascii="Garamond" w:hAnsi="Garamond"/>
        </w:rPr>
        <w:t>statement on the discipline’s purpose. It is widely accepted that the discipline has no purpose in</w:t>
      </w:r>
      <w:r>
        <w:rPr>
          <w:rFonts w:ascii="Garamond" w:hAnsi="Garamond"/>
        </w:rPr>
        <w:t xml:space="preserve"> </w:t>
      </w:r>
      <w:r w:rsidRPr="00DE6111">
        <w:rPr>
          <w:rFonts w:ascii="Garamond" w:hAnsi="Garamond"/>
        </w:rPr>
        <w:t xml:space="preserve">seeking religious truth or legitimizing colonial </w:t>
      </w:r>
      <w:proofErr w:type="spellStart"/>
      <w:r w:rsidRPr="00DE6111">
        <w:rPr>
          <w:rFonts w:ascii="Garamond" w:hAnsi="Garamond"/>
        </w:rPr>
        <w:t>endeavors</w:t>
      </w:r>
      <w:proofErr w:type="spellEnd"/>
      <w:r w:rsidRPr="00DE6111">
        <w:rPr>
          <w:rFonts w:ascii="Garamond" w:hAnsi="Garamond"/>
        </w:rPr>
        <w:t>, and, as a result, it has moved away</w:t>
      </w:r>
      <w:r>
        <w:rPr>
          <w:rFonts w:ascii="Garamond" w:hAnsi="Garamond"/>
        </w:rPr>
        <w:t xml:space="preserve"> </w:t>
      </w:r>
      <w:r w:rsidRPr="00DE6111">
        <w:rPr>
          <w:rFonts w:ascii="Garamond" w:hAnsi="Garamond"/>
        </w:rPr>
        <w:t>from phenomenological and essentialist approaches. For several decades, its primary purpose</w:t>
      </w:r>
      <w:r>
        <w:rPr>
          <w:rFonts w:ascii="Garamond" w:hAnsi="Garamond"/>
        </w:rPr>
        <w:t xml:space="preserve"> </w:t>
      </w:r>
      <w:r w:rsidRPr="00DE6111">
        <w:rPr>
          <w:rFonts w:ascii="Garamond" w:hAnsi="Garamond"/>
        </w:rPr>
        <w:t>seemed to be emancipating itself from problematic early approaches, which led to linguistic</w:t>
      </w:r>
      <w:r>
        <w:rPr>
          <w:rFonts w:ascii="Garamond" w:hAnsi="Garamond"/>
        </w:rPr>
        <w:t xml:space="preserve"> </w:t>
      </w:r>
      <w:r w:rsidRPr="00DE6111">
        <w:rPr>
          <w:rFonts w:ascii="Garamond" w:hAnsi="Garamond"/>
        </w:rPr>
        <w:t>fixations and petty disputes. In this paper, I argue for a turn towards becoming more helpful,</w:t>
      </w:r>
      <w:r>
        <w:rPr>
          <w:rFonts w:ascii="Garamond" w:hAnsi="Garamond"/>
        </w:rPr>
        <w:t xml:space="preserve"> </w:t>
      </w:r>
      <w:r w:rsidRPr="00DE6111">
        <w:rPr>
          <w:rFonts w:ascii="Garamond" w:hAnsi="Garamond"/>
        </w:rPr>
        <w:t>relevant, and impactful in the face of global crises by using discipline-specific tools and</w:t>
      </w:r>
      <w:r>
        <w:rPr>
          <w:rFonts w:ascii="Garamond" w:hAnsi="Garamond"/>
        </w:rPr>
        <w:t xml:space="preserve"> </w:t>
      </w:r>
      <w:r w:rsidRPr="00DE6111">
        <w:rPr>
          <w:rFonts w:ascii="Garamond" w:hAnsi="Garamond"/>
        </w:rPr>
        <w:t>expertise. Against this backdrop, this paper suggests two complementary objects for the Study</w:t>
      </w:r>
      <w:r>
        <w:rPr>
          <w:rFonts w:ascii="Garamond" w:hAnsi="Garamond"/>
        </w:rPr>
        <w:t xml:space="preserve"> </w:t>
      </w:r>
      <w:r w:rsidRPr="00DE6111">
        <w:rPr>
          <w:rFonts w:ascii="Garamond" w:hAnsi="Garamond"/>
        </w:rPr>
        <w:t>of Religions, based on my research: 1) A systemic and praxeological concept of “religion/s” as a</w:t>
      </w:r>
      <w:r>
        <w:rPr>
          <w:rFonts w:ascii="Garamond" w:hAnsi="Garamond"/>
        </w:rPr>
        <w:t xml:space="preserve"> </w:t>
      </w:r>
      <w:r w:rsidRPr="00DE6111">
        <w:rPr>
          <w:rFonts w:ascii="Garamond" w:hAnsi="Garamond"/>
        </w:rPr>
        <w:t>periscope for researching society, and 2) the research of a major cornerstone of society, namely</w:t>
      </w:r>
      <w:r>
        <w:rPr>
          <w:rFonts w:ascii="Garamond" w:hAnsi="Garamond"/>
        </w:rPr>
        <w:t xml:space="preserve"> </w:t>
      </w:r>
      <w:r w:rsidRPr="00DE6111">
        <w:rPr>
          <w:rFonts w:ascii="Garamond" w:hAnsi="Garamond"/>
        </w:rPr>
        <w:t>“ontologies”, as a method of developing a broad, engaged and critical approach to the Study of</w:t>
      </w:r>
      <w:r>
        <w:rPr>
          <w:rFonts w:ascii="Garamond" w:hAnsi="Garamond"/>
        </w:rPr>
        <w:t xml:space="preserve"> </w:t>
      </w:r>
      <w:r w:rsidRPr="00DE6111">
        <w:rPr>
          <w:rFonts w:ascii="Garamond" w:hAnsi="Garamond"/>
        </w:rPr>
        <w:t>Religions.</w:t>
      </w:r>
    </w:p>
    <w:p w14:paraId="54F56271" w14:textId="77777777" w:rsidR="00DE6111" w:rsidRDefault="00DE6111" w:rsidP="00DE6111">
      <w:pPr>
        <w:spacing w:line="276" w:lineRule="auto"/>
        <w:jc w:val="both"/>
        <w:rPr>
          <w:rFonts w:ascii="Garamond" w:hAnsi="Garamond"/>
        </w:rPr>
      </w:pPr>
      <w:r w:rsidRPr="00DE6111">
        <w:rPr>
          <w:rFonts w:ascii="Garamond" w:hAnsi="Garamond"/>
        </w:rPr>
        <w:t>First, I propose a systemic and practice theory approach that focuses on collectives who</w:t>
      </w:r>
      <w:r>
        <w:rPr>
          <w:rFonts w:ascii="Garamond" w:hAnsi="Garamond"/>
        </w:rPr>
        <w:t xml:space="preserve"> </w:t>
      </w:r>
      <w:r w:rsidRPr="00DE6111">
        <w:rPr>
          <w:rFonts w:ascii="Garamond" w:hAnsi="Garamond"/>
        </w:rPr>
        <w:t>understand their social practices as “religious”, “spiritual”, or, in my case example, “magical”</w:t>
      </w:r>
      <w:r>
        <w:rPr>
          <w:rFonts w:ascii="Garamond" w:hAnsi="Garamond"/>
        </w:rPr>
        <w:t xml:space="preserve"> </w:t>
      </w:r>
      <w:r w:rsidRPr="00DE6111">
        <w:rPr>
          <w:rFonts w:ascii="Garamond" w:hAnsi="Garamond"/>
        </w:rPr>
        <w:t>and how they performatively create shared experiences in which these fluid categories become</w:t>
      </w:r>
      <w:r>
        <w:rPr>
          <w:rFonts w:ascii="Garamond" w:hAnsi="Garamond"/>
        </w:rPr>
        <w:t xml:space="preserve"> </w:t>
      </w:r>
      <w:r w:rsidRPr="00DE6111">
        <w:rPr>
          <w:rFonts w:ascii="Garamond" w:hAnsi="Garamond"/>
        </w:rPr>
        <w:t>a bio-psycho-social reality for them. Such research is not about definitions nor reifications, but a</w:t>
      </w:r>
      <w:r>
        <w:rPr>
          <w:rFonts w:ascii="Garamond" w:hAnsi="Garamond"/>
        </w:rPr>
        <w:t xml:space="preserve"> </w:t>
      </w:r>
      <w:r w:rsidRPr="00DE6111">
        <w:rPr>
          <w:rFonts w:ascii="Garamond" w:hAnsi="Garamond"/>
        </w:rPr>
        <w:t>study of society through the periscope of social practices in the realm of “everyday religiosity”. In</w:t>
      </w:r>
      <w:r>
        <w:rPr>
          <w:rFonts w:ascii="Garamond" w:hAnsi="Garamond"/>
        </w:rPr>
        <w:t xml:space="preserve"> </w:t>
      </w:r>
      <w:r w:rsidRPr="00DE6111">
        <w:rPr>
          <w:rFonts w:ascii="Garamond" w:hAnsi="Garamond"/>
        </w:rPr>
        <w:t>my 7-year ethnographic research in the magic scene, I did not research “what magic really is”</w:t>
      </w:r>
      <w:r>
        <w:rPr>
          <w:rFonts w:ascii="Garamond" w:hAnsi="Garamond"/>
        </w:rPr>
        <w:t xml:space="preserve"> </w:t>
      </w:r>
      <w:r w:rsidRPr="00DE6111">
        <w:rPr>
          <w:rFonts w:ascii="Garamond" w:hAnsi="Garamond"/>
        </w:rPr>
        <w:t>but rather how practitioners relate to economy, sciences, politics, urban realities, climate crises,</w:t>
      </w:r>
      <w:r>
        <w:rPr>
          <w:rFonts w:ascii="Garamond" w:hAnsi="Garamond"/>
        </w:rPr>
        <w:t xml:space="preserve"> </w:t>
      </w:r>
      <w:r w:rsidRPr="00DE6111">
        <w:rPr>
          <w:rFonts w:ascii="Garamond" w:hAnsi="Garamond"/>
        </w:rPr>
        <w:t>wars, etc., through their concept and practice of “magic”.</w:t>
      </w:r>
      <w:r>
        <w:rPr>
          <w:rFonts w:ascii="Garamond" w:hAnsi="Garamond"/>
        </w:rPr>
        <w:t xml:space="preserve"> </w:t>
      </w:r>
    </w:p>
    <w:p w14:paraId="1A29B00F" w14:textId="4F9AE111" w:rsidR="00DE6111" w:rsidRDefault="00DE6111" w:rsidP="00DE6111">
      <w:pPr>
        <w:spacing w:line="276" w:lineRule="auto"/>
        <w:jc w:val="both"/>
        <w:rPr>
          <w:rFonts w:ascii="Garamond" w:hAnsi="Garamond"/>
        </w:rPr>
      </w:pPr>
      <w:r w:rsidRPr="00DE6111">
        <w:rPr>
          <w:rFonts w:ascii="Garamond" w:hAnsi="Garamond"/>
        </w:rPr>
        <w:t>Second, I suggest “ontologies” as research objects of the Study of Religions. This research</w:t>
      </w:r>
      <w:r>
        <w:rPr>
          <w:rFonts w:ascii="Garamond" w:hAnsi="Garamond"/>
        </w:rPr>
        <w:t xml:space="preserve"> </w:t>
      </w:r>
      <w:r w:rsidRPr="00DE6111">
        <w:rPr>
          <w:rFonts w:ascii="Garamond" w:hAnsi="Garamond"/>
        </w:rPr>
        <w:t>object concerns underlying worldviews, cosmologies, and implicit and explicit knowledge of</w:t>
      </w:r>
      <w:r>
        <w:rPr>
          <w:rFonts w:ascii="Garamond" w:hAnsi="Garamond"/>
        </w:rPr>
        <w:t xml:space="preserve"> </w:t>
      </w:r>
      <w:r w:rsidRPr="00DE6111">
        <w:rPr>
          <w:rFonts w:ascii="Garamond" w:hAnsi="Garamond"/>
        </w:rPr>
        <w:t>collectives, their practices, and shared experiences. Researching “ontologies” rather than</w:t>
      </w:r>
      <w:r>
        <w:rPr>
          <w:rFonts w:ascii="Garamond" w:hAnsi="Garamond"/>
        </w:rPr>
        <w:t xml:space="preserve"> </w:t>
      </w:r>
      <w:r w:rsidRPr="00DE6111">
        <w:rPr>
          <w:rFonts w:ascii="Garamond" w:hAnsi="Garamond"/>
        </w:rPr>
        <w:t>“religions” avoids questions of reification, broadens the discipline's research area, and, from a</w:t>
      </w:r>
      <w:r>
        <w:rPr>
          <w:rFonts w:ascii="Garamond" w:hAnsi="Garamond"/>
        </w:rPr>
        <w:t xml:space="preserve"> </w:t>
      </w:r>
      <w:r w:rsidRPr="00DE6111">
        <w:rPr>
          <w:rFonts w:ascii="Garamond" w:hAnsi="Garamond"/>
        </w:rPr>
        <w:t>decolonial perspective, provincializes “the sciences” as one perspective amongst many. I will</w:t>
      </w:r>
      <w:r>
        <w:rPr>
          <w:rFonts w:ascii="Garamond" w:hAnsi="Garamond"/>
        </w:rPr>
        <w:t xml:space="preserve"> </w:t>
      </w:r>
      <w:r w:rsidRPr="00DE6111">
        <w:rPr>
          <w:rFonts w:ascii="Garamond" w:hAnsi="Garamond"/>
        </w:rPr>
        <w:t>discuss this approach, using examples of my research on medicinal plants in different</w:t>
      </w:r>
      <w:r>
        <w:rPr>
          <w:rFonts w:ascii="Garamond" w:hAnsi="Garamond"/>
        </w:rPr>
        <w:t xml:space="preserve"> </w:t>
      </w:r>
      <w:r w:rsidRPr="00DE6111">
        <w:rPr>
          <w:rFonts w:ascii="Garamond" w:hAnsi="Garamond"/>
        </w:rPr>
        <w:t>ontological (medical) systems. Researching the “</w:t>
      </w:r>
      <w:proofErr w:type="spellStart"/>
      <w:r w:rsidRPr="00DE6111">
        <w:rPr>
          <w:rFonts w:ascii="Garamond" w:hAnsi="Garamond"/>
        </w:rPr>
        <w:t>pluriversity</w:t>
      </w:r>
      <w:proofErr w:type="spellEnd"/>
      <w:r w:rsidRPr="00DE6111">
        <w:rPr>
          <w:rFonts w:ascii="Garamond" w:hAnsi="Garamond"/>
        </w:rPr>
        <w:t xml:space="preserve"> of ontologies” also entails</w:t>
      </w:r>
      <w:r>
        <w:rPr>
          <w:rFonts w:ascii="Garamond" w:hAnsi="Garamond"/>
        </w:rPr>
        <w:t xml:space="preserve"> </w:t>
      </w:r>
      <w:r w:rsidRPr="00DE6111">
        <w:rPr>
          <w:rFonts w:ascii="Garamond" w:hAnsi="Garamond"/>
        </w:rPr>
        <w:t>examining global conflicts and perspectives on (co-)existence. This suggestion leans into a non-denominational, engaged approach to the Study of Religions, in search of our own style of the</w:t>
      </w:r>
      <w:r>
        <w:rPr>
          <w:rFonts w:ascii="Garamond" w:hAnsi="Garamond"/>
        </w:rPr>
        <w:t xml:space="preserve"> </w:t>
      </w:r>
      <w:r w:rsidRPr="00DE6111">
        <w:rPr>
          <w:rFonts w:ascii="Garamond" w:hAnsi="Garamond"/>
        </w:rPr>
        <w:t>ethical and political turn in the humanities and social sciences.</w:t>
      </w:r>
    </w:p>
    <w:p w14:paraId="6F6A4EAB" w14:textId="77777777" w:rsidR="00DE6111" w:rsidRDefault="00DE6111" w:rsidP="00DE6111">
      <w:pPr>
        <w:spacing w:line="276" w:lineRule="auto"/>
        <w:jc w:val="both"/>
        <w:rPr>
          <w:rFonts w:ascii="Garamond" w:hAnsi="Garamond"/>
        </w:rPr>
      </w:pPr>
    </w:p>
    <w:p w14:paraId="2770F5C9" w14:textId="77777777" w:rsidR="00DE6111" w:rsidRDefault="00DE6111" w:rsidP="00DE6111">
      <w:pPr>
        <w:spacing w:line="276" w:lineRule="auto"/>
        <w:jc w:val="both"/>
        <w:rPr>
          <w:rFonts w:ascii="Garamond" w:hAnsi="Garamond"/>
        </w:rPr>
      </w:pPr>
      <w:r>
        <w:rPr>
          <w:rFonts w:ascii="Garamond" w:hAnsi="Garamond"/>
          <w:b/>
          <w:bCs/>
        </w:rPr>
        <w:t>Michael Hauhs</w:t>
      </w:r>
      <w:r>
        <w:rPr>
          <w:rFonts w:ascii="Garamond" w:hAnsi="Garamond"/>
        </w:rPr>
        <w:t xml:space="preserve"> (University of Bayreuth, Germany) – B</w:t>
      </w:r>
      <w:r w:rsidRPr="007A5E3F">
        <w:rPr>
          <w:rFonts w:ascii="Garamond" w:hAnsi="Garamond"/>
        </w:rPr>
        <w:t>racketing the Modal:</w:t>
      </w:r>
      <w:r>
        <w:rPr>
          <w:rFonts w:ascii="Garamond" w:hAnsi="Garamond"/>
        </w:rPr>
        <w:t xml:space="preserve"> </w:t>
      </w:r>
      <w:r w:rsidRPr="007A5E3F">
        <w:rPr>
          <w:rFonts w:ascii="Garamond" w:hAnsi="Garamond"/>
        </w:rPr>
        <w:t>The Study of Religion as Perspectival Modelling</w:t>
      </w:r>
    </w:p>
    <w:p w14:paraId="5887A702" w14:textId="7ED8ADE9" w:rsidR="00DE6111" w:rsidRDefault="00DE6111" w:rsidP="00DE6111">
      <w:pPr>
        <w:spacing w:line="276" w:lineRule="auto"/>
        <w:jc w:val="both"/>
        <w:rPr>
          <w:rFonts w:ascii="Garamond" w:hAnsi="Garamond"/>
        </w:rPr>
      </w:pPr>
      <w:r w:rsidRPr="00DE6111">
        <w:rPr>
          <w:rFonts w:ascii="Garamond" w:hAnsi="Garamond"/>
        </w:rPr>
        <w:t>Spies and Schrode (2021) proposed to define the subject of the study of religion</w:t>
      </w:r>
      <w:r>
        <w:rPr>
          <w:rFonts w:ascii="Garamond" w:hAnsi="Garamond"/>
        </w:rPr>
        <w:t xml:space="preserve"> </w:t>
      </w:r>
      <w:r w:rsidRPr="00DE6111">
        <w:rPr>
          <w:rFonts w:ascii="Garamond" w:hAnsi="Garamond"/>
        </w:rPr>
        <w:t>relationally. Relations can be modelled and models act as mediators between the</w:t>
      </w:r>
      <w:r>
        <w:rPr>
          <w:rFonts w:ascii="Garamond" w:hAnsi="Garamond"/>
        </w:rPr>
        <w:t xml:space="preserve"> </w:t>
      </w:r>
      <w:r w:rsidRPr="00DE6111">
        <w:rPr>
          <w:rFonts w:ascii="Garamond" w:hAnsi="Garamond"/>
        </w:rPr>
        <w:t>mathematical and the empirical realm. Here, the empirical side is represented by the</w:t>
      </w:r>
      <w:r>
        <w:rPr>
          <w:rFonts w:ascii="Garamond" w:hAnsi="Garamond"/>
        </w:rPr>
        <w:t xml:space="preserve"> </w:t>
      </w:r>
      <w:r w:rsidRPr="00DE6111">
        <w:rPr>
          <w:rFonts w:ascii="Garamond" w:hAnsi="Garamond"/>
        </w:rPr>
        <w:t xml:space="preserve">three </w:t>
      </w:r>
      <w:proofErr w:type="spellStart"/>
      <w:r w:rsidRPr="00DE6111">
        <w:rPr>
          <w:rFonts w:ascii="Garamond" w:hAnsi="Garamond"/>
        </w:rPr>
        <w:t>modi</w:t>
      </w:r>
      <w:proofErr w:type="spellEnd"/>
      <w:r w:rsidRPr="00DE6111">
        <w:rPr>
          <w:rFonts w:ascii="Garamond" w:hAnsi="Garamond"/>
        </w:rPr>
        <w:t xml:space="preserve"> of time, which become: narrating the past, performing the present, and</w:t>
      </w:r>
      <w:r>
        <w:rPr>
          <w:rFonts w:ascii="Garamond" w:hAnsi="Garamond"/>
        </w:rPr>
        <w:t xml:space="preserve"> </w:t>
      </w:r>
      <w:r w:rsidRPr="00DE6111">
        <w:rPr>
          <w:rFonts w:ascii="Garamond" w:hAnsi="Garamond"/>
        </w:rPr>
        <w:t>simulating the future. The mathematical side is represented by category theory (Cheng</w:t>
      </w:r>
      <w:r>
        <w:rPr>
          <w:rFonts w:ascii="Garamond" w:hAnsi="Garamond"/>
        </w:rPr>
        <w:t xml:space="preserve"> </w:t>
      </w:r>
      <w:r w:rsidRPr="00DE6111">
        <w:rPr>
          <w:rFonts w:ascii="Garamond" w:hAnsi="Garamond"/>
        </w:rPr>
        <w:t>2022), in particular, by the category of oriented tetrahedrons, a combinatory object of four</w:t>
      </w:r>
      <w:r>
        <w:rPr>
          <w:rFonts w:ascii="Garamond" w:hAnsi="Garamond"/>
        </w:rPr>
        <w:t xml:space="preserve"> </w:t>
      </w:r>
      <w:r w:rsidRPr="00DE6111">
        <w:rPr>
          <w:rFonts w:ascii="Garamond" w:hAnsi="Garamond"/>
        </w:rPr>
        <w:t>nodes, six edges and four faces. The tetrahedron is the minimal object carrying both</w:t>
      </w:r>
      <w:r>
        <w:rPr>
          <w:rFonts w:ascii="Garamond" w:hAnsi="Garamond"/>
        </w:rPr>
        <w:t xml:space="preserve"> </w:t>
      </w:r>
      <w:r w:rsidRPr="00DE6111">
        <w:rPr>
          <w:rFonts w:ascii="Garamond" w:hAnsi="Garamond"/>
        </w:rPr>
        <w:t xml:space="preserve">partial order and non-abelian symmetry and can thus be translated </w:t>
      </w:r>
      <w:r w:rsidRPr="00DE6111">
        <w:rPr>
          <w:rFonts w:ascii="Garamond" w:hAnsi="Garamond"/>
        </w:rPr>
        <w:lastRenderedPageBreak/>
        <w:t>into two</w:t>
      </w:r>
      <w:r>
        <w:rPr>
          <w:rFonts w:ascii="Garamond" w:hAnsi="Garamond"/>
        </w:rPr>
        <w:t xml:space="preserve"> </w:t>
      </w:r>
      <w:r w:rsidRPr="00DE6111">
        <w:rPr>
          <w:rFonts w:ascii="Garamond" w:hAnsi="Garamond"/>
        </w:rPr>
        <w:t>complementary mathematical worlds. These two worlds are widely employed in physics</w:t>
      </w:r>
      <w:r>
        <w:rPr>
          <w:rFonts w:ascii="Garamond" w:hAnsi="Garamond"/>
        </w:rPr>
        <w:t xml:space="preserve"> </w:t>
      </w:r>
      <w:r w:rsidRPr="00DE6111">
        <w:rPr>
          <w:rFonts w:ascii="Garamond" w:hAnsi="Garamond"/>
        </w:rPr>
        <w:t>and in computer science. The tetrahedron as a classificatory model can be applied in</w:t>
      </w:r>
      <w:r>
        <w:rPr>
          <w:rFonts w:ascii="Garamond" w:hAnsi="Garamond"/>
        </w:rPr>
        <w:t xml:space="preserve"> </w:t>
      </w:r>
      <w:r w:rsidRPr="00DE6111">
        <w:rPr>
          <w:rFonts w:ascii="Garamond" w:hAnsi="Garamond"/>
        </w:rPr>
        <w:t>different sciences: nodes as objects, edges as processes (narrating, performing,</w:t>
      </w:r>
      <w:r>
        <w:rPr>
          <w:rFonts w:ascii="Garamond" w:hAnsi="Garamond"/>
        </w:rPr>
        <w:t xml:space="preserve"> </w:t>
      </w:r>
      <w:r w:rsidRPr="00DE6111">
        <w:rPr>
          <w:rFonts w:ascii="Garamond" w:hAnsi="Garamond"/>
        </w:rPr>
        <w:t xml:space="preserve">predicting), faces as cosmologies after </w:t>
      </w:r>
      <w:proofErr w:type="spellStart"/>
      <w:r w:rsidRPr="00DE6111">
        <w:rPr>
          <w:rFonts w:ascii="Garamond" w:hAnsi="Garamond"/>
        </w:rPr>
        <w:t>Descola</w:t>
      </w:r>
      <w:proofErr w:type="spellEnd"/>
      <w:r w:rsidRPr="00DE6111">
        <w:rPr>
          <w:rFonts w:ascii="Garamond" w:hAnsi="Garamond"/>
        </w:rPr>
        <w:t xml:space="preserve"> (2013). The edges can be composed and</w:t>
      </w:r>
      <w:r>
        <w:rPr>
          <w:rFonts w:ascii="Garamond" w:hAnsi="Garamond"/>
        </w:rPr>
        <w:t xml:space="preserve"> </w:t>
      </w:r>
      <w:r w:rsidRPr="00DE6111">
        <w:rPr>
          <w:rFonts w:ascii="Garamond" w:hAnsi="Garamond"/>
        </w:rPr>
        <w:t>fulfil the categorical requirement of associativity. By starting composition from different</w:t>
      </w:r>
      <w:r>
        <w:rPr>
          <w:rFonts w:ascii="Garamond" w:hAnsi="Garamond"/>
        </w:rPr>
        <w:t xml:space="preserve"> </w:t>
      </w:r>
      <w:r w:rsidRPr="00DE6111">
        <w:rPr>
          <w:rFonts w:ascii="Garamond" w:hAnsi="Garamond"/>
        </w:rPr>
        <w:t>positions, they support models of linear and cyclical time. Each of the faces is enclosed</w:t>
      </w:r>
      <w:r>
        <w:rPr>
          <w:rFonts w:ascii="Garamond" w:hAnsi="Garamond"/>
        </w:rPr>
        <w:t xml:space="preserve"> </w:t>
      </w:r>
      <w:r w:rsidRPr="00DE6111">
        <w:rPr>
          <w:rFonts w:ascii="Garamond" w:hAnsi="Garamond"/>
        </w:rPr>
        <w:t xml:space="preserve">by a complete set of temporal </w:t>
      </w:r>
      <w:proofErr w:type="spellStart"/>
      <w:r w:rsidRPr="00DE6111">
        <w:rPr>
          <w:rFonts w:ascii="Garamond" w:hAnsi="Garamond"/>
        </w:rPr>
        <w:t>modi</w:t>
      </w:r>
      <w:proofErr w:type="spellEnd"/>
      <w:r w:rsidRPr="00DE6111">
        <w:rPr>
          <w:rFonts w:ascii="Garamond" w:hAnsi="Garamond"/>
        </w:rPr>
        <w:t xml:space="preserve"> and can be related to the ethno-cosmologies by</w:t>
      </w:r>
      <w:r>
        <w:rPr>
          <w:rFonts w:ascii="Garamond" w:hAnsi="Garamond"/>
        </w:rPr>
        <w:t xml:space="preserve"> </w:t>
      </w:r>
      <w:proofErr w:type="spellStart"/>
      <w:r w:rsidRPr="00DE6111">
        <w:rPr>
          <w:rFonts w:ascii="Garamond" w:hAnsi="Garamond"/>
        </w:rPr>
        <w:t>Descola</w:t>
      </w:r>
      <w:proofErr w:type="spellEnd"/>
      <w:r w:rsidRPr="00DE6111">
        <w:rPr>
          <w:rFonts w:ascii="Garamond" w:hAnsi="Garamond"/>
        </w:rPr>
        <w:t xml:space="preserve"> (2013), each characterized by one missing opposite node. Three further</w:t>
      </w:r>
      <w:r>
        <w:rPr>
          <w:rFonts w:ascii="Garamond" w:hAnsi="Garamond"/>
        </w:rPr>
        <w:t xml:space="preserve"> </w:t>
      </w:r>
      <w:r w:rsidRPr="00DE6111">
        <w:rPr>
          <w:rFonts w:ascii="Garamond" w:hAnsi="Garamond"/>
        </w:rPr>
        <w:t>applications consist of an interpretation of ancient Egyptian religious cosmology by</w:t>
      </w:r>
      <w:r>
        <w:rPr>
          <w:rFonts w:ascii="Garamond" w:hAnsi="Garamond"/>
        </w:rPr>
        <w:t xml:space="preserve"> </w:t>
      </w:r>
      <w:r w:rsidRPr="00DE6111">
        <w:rPr>
          <w:rFonts w:ascii="Garamond" w:hAnsi="Garamond"/>
        </w:rPr>
        <w:t>(Assmann 2012), (Eliade 2018), the Bororo myth by (Lévi-Strauss 1955), and the</w:t>
      </w:r>
      <w:r>
        <w:rPr>
          <w:rFonts w:ascii="Garamond" w:hAnsi="Garamond"/>
        </w:rPr>
        <w:t xml:space="preserve"> </w:t>
      </w:r>
      <w:r w:rsidRPr="00DE6111">
        <w:rPr>
          <w:rFonts w:ascii="Garamond" w:hAnsi="Garamond"/>
        </w:rPr>
        <w:t>classification of dark green religions by (Taylor 2009). For example, Lévi-Strauss's insight</w:t>
      </w:r>
      <w:r>
        <w:rPr>
          <w:rFonts w:ascii="Garamond" w:hAnsi="Garamond"/>
        </w:rPr>
        <w:t xml:space="preserve"> </w:t>
      </w:r>
      <w:r w:rsidRPr="00DE6111">
        <w:rPr>
          <w:rFonts w:ascii="Garamond" w:hAnsi="Garamond"/>
        </w:rPr>
        <w:t>that a myth exists only as a bundle of versions, each incomplete in isolation, finds a</w:t>
      </w:r>
      <w:r>
        <w:rPr>
          <w:rFonts w:ascii="Garamond" w:hAnsi="Garamond"/>
        </w:rPr>
        <w:t xml:space="preserve"> </w:t>
      </w:r>
      <w:r w:rsidRPr="00DE6111">
        <w:rPr>
          <w:rFonts w:ascii="Garamond" w:hAnsi="Garamond"/>
        </w:rPr>
        <w:t>natural expression here. The above proposed definition offers a systematic stance for the</w:t>
      </w:r>
      <w:r>
        <w:rPr>
          <w:rFonts w:ascii="Garamond" w:hAnsi="Garamond"/>
        </w:rPr>
        <w:t xml:space="preserve"> </w:t>
      </w:r>
      <w:r w:rsidRPr="00DE6111">
        <w:rPr>
          <w:rFonts w:ascii="Garamond" w:hAnsi="Garamond"/>
        </w:rPr>
        <w:t>study of religion. The framework is irreducible to standard classificatory approaches in</w:t>
      </w:r>
      <w:r>
        <w:rPr>
          <w:rFonts w:ascii="Garamond" w:hAnsi="Garamond"/>
        </w:rPr>
        <w:t xml:space="preserve"> </w:t>
      </w:r>
      <w:r w:rsidRPr="00DE6111">
        <w:rPr>
          <w:rFonts w:ascii="Garamond" w:hAnsi="Garamond"/>
        </w:rPr>
        <w:t>natural science or anthropology, as further examples demonstrate.</w:t>
      </w:r>
    </w:p>
    <w:p w14:paraId="3A35D8A6" w14:textId="77777777" w:rsidR="00DE6111" w:rsidRDefault="00DE6111" w:rsidP="00DE6111">
      <w:pPr>
        <w:spacing w:line="276" w:lineRule="auto"/>
        <w:jc w:val="both"/>
        <w:rPr>
          <w:rFonts w:ascii="Garamond" w:hAnsi="Garamond"/>
        </w:rPr>
      </w:pPr>
    </w:p>
    <w:p w14:paraId="2920311F" w14:textId="77777777" w:rsidR="00DE6111" w:rsidRDefault="00DE6111" w:rsidP="00DE6111">
      <w:pPr>
        <w:spacing w:line="276" w:lineRule="auto"/>
        <w:jc w:val="both"/>
        <w:rPr>
          <w:rFonts w:ascii="Garamond" w:hAnsi="Garamond"/>
        </w:rPr>
      </w:pPr>
      <w:r>
        <w:rPr>
          <w:rFonts w:ascii="Garamond" w:hAnsi="Garamond"/>
          <w:b/>
          <w:bCs/>
        </w:rPr>
        <w:t>Samuel Ramapuram</w:t>
      </w:r>
      <w:r>
        <w:rPr>
          <w:rFonts w:ascii="Garamond" w:hAnsi="Garamond"/>
        </w:rPr>
        <w:t xml:space="preserve"> (Goethe University Frankfurt, Germany) – </w:t>
      </w:r>
      <w:r w:rsidRPr="007A5E3F">
        <w:rPr>
          <w:rFonts w:ascii="Garamond" w:hAnsi="Garamond"/>
        </w:rPr>
        <w:t>Beyond Sacred Objects: Kami, Relational Ontology, and the Study of Religion</w:t>
      </w:r>
      <w:r>
        <w:rPr>
          <w:rFonts w:ascii="Garamond" w:hAnsi="Garamond"/>
        </w:rPr>
        <w:t xml:space="preserve"> </w:t>
      </w:r>
      <w:r w:rsidRPr="007A5E3F">
        <w:rPr>
          <w:rFonts w:ascii="Garamond" w:hAnsi="Garamond"/>
        </w:rPr>
        <w:t>Without an Object in Shinto Ritual Practice</w:t>
      </w:r>
    </w:p>
    <w:p w14:paraId="2B27C963" w14:textId="16AAE19E" w:rsidR="00DE6111" w:rsidRDefault="00DE6111" w:rsidP="00DE6111">
      <w:pPr>
        <w:spacing w:line="276" w:lineRule="auto"/>
        <w:jc w:val="both"/>
        <w:rPr>
          <w:rFonts w:ascii="Garamond" w:hAnsi="Garamond"/>
        </w:rPr>
      </w:pPr>
      <w:r w:rsidRPr="00DE6111">
        <w:rPr>
          <w:rFonts w:ascii="Garamond" w:hAnsi="Garamond"/>
        </w:rPr>
        <w:t>In order to reexamine the subject of study within the particular context of Shinto, this</w:t>
      </w:r>
      <w:r>
        <w:rPr>
          <w:rFonts w:ascii="Garamond" w:hAnsi="Garamond"/>
        </w:rPr>
        <w:t xml:space="preserve"> </w:t>
      </w:r>
      <w:r w:rsidRPr="00DE6111">
        <w:rPr>
          <w:rFonts w:ascii="Garamond" w:hAnsi="Garamond"/>
        </w:rPr>
        <w:t>research uses the theoretical lens of relational ontology, drawing from the work of</w:t>
      </w:r>
      <w:r>
        <w:rPr>
          <w:rFonts w:ascii="Garamond" w:hAnsi="Garamond"/>
        </w:rPr>
        <w:t xml:space="preserve"> </w:t>
      </w:r>
      <w:r w:rsidRPr="00DE6111">
        <w:rPr>
          <w:rFonts w:ascii="Garamond" w:hAnsi="Garamond"/>
        </w:rPr>
        <w:t>scholars such as Eduardo Viveiros de Castro and Tim Ingold. It contends that</w:t>
      </w:r>
      <w:r>
        <w:rPr>
          <w:rFonts w:ascii="Garamond" w:hAnsi="Garamond"/>
        </w:rPr>
        <w:t xml:space="preserve"> </w:t>
      </w:r>
      <w:r w:rsidRPr="00DE6111">
        <w:rPr>
          <w:rFonts w:ascii="Garamond" w:hAnsi="Garamond"/>
        </w:rPr>
        <w:t>problematic reification has resulted from the basic "entities" of Shinto practice kami</w:t>
      </w:r>
      <w:r>
        <w:rPr>
          <w:rFonts w:ascii="Garamond" w:hAnsi="Garamond"/>
        </w:rPr>
        <w:t xml:space="preserve"> </w:t>
      </w:r>
      <w:r w:rsidRPr="00DE6111">
        <w:rPr>
          <w:rFonts w:ascii="Garamond" w:hAnsi="Garamond"/>
        </w:rPr>
        <w:t>being consistently misinterpreted as distinct, supernatural objects or beings in</w:t>
      </w:r>
      <w:r>
        <w:rPr>
          <w:rFonts w:ascii="Garamond" w:hAnsi="Garamond"/>
        </w:rPr>
        <w:t xml:space="preserve"> </w:t>
      </w:r>
      <w:r w:rsidRPr="00DE6111">
        <w:rPr>
          <w:rFonts w:ascii="Garamond" w:hAnsi="Garamond"/>
        </w:rPr>
        <w:t>Western academic frameworks. Rather, this approach suggests that kami are better</w:t>
      </w:r>
      <w:r>
        <w:rPr>
          <w:rFonts w:ascii="Garamond" w:hAnsi="Garamond"/>
        </w:rPr>
        <w:t xml:space="preserve"> </w:t>
      </w:r>
      <w:r w:rsidRPr="00DE6111">
        <w:rPr>
          <w:rFonts w:ascii="Garamond" w:hAnsi="Garamond"/>
        </w:rPr>
        <w:t>understood as dynamic focal points within a web of relationships, arising from and</w:t>
      </w:r>
      <w:r>
        <w:rPr>
          <w:rFonts w:ascii="Garamond" w:hAnsi="Garamond"/>
        </w:rPr>
        <w:t xml:space="preserve"> </w:t>
      </w:r>
      <w:r w:rsidRPr="00DE6111">
        <w:rPr>
          <w:rFonts w:ascii="Garamond" w:hAnsi="Garamond"/>
        </w:rPr>
        <w:t>constituting particular seasonal cycles (</w:t>
      </w:r>
      <w:proofErr w:type="spellStart"/>
      <w:r w:rsidRPr="00DE6111">
        <w:rPr>
          <w:rFonts w:ascii="Garamond" w:hAnsi="Garamond"/>
        </w:rPr>
        <w:t>nenju</w:t>
      </w:r>
      <w:proofErr w:type="spellEnd"/>
      <w:r w:rsidRPr="00DE6111">
        <w:rPr>
          <w:rFonts w:ascii="Garamond" w:hAnsi="Garamond"/>
        </w:rPr>
        <w:t xml:space="preserve"> </w:t>
      </w:r>
      <w:proofErr w:type="spellStart"/>
      <w:r w:rsidRPr="00DE6111">
        <w:rPr>
          <w:rFonts w:ascii="Garamond" w:hAnsi="Garamond"/>
        </w:rPr>
        <w:t>gyoji</w:t>
      </w:r>
      <w:proofErr w:type="spellEnd"/>
      <w:r w:rsidRPr="00DE6111">
        <w:rPr>
          <w:rFonts w:ascii="Garamond" w:hAnsi="Garamond"/>
        </w:rPr>
        <w:t>), communal practices (matsuri),</w:t>
      </w:r>
      <w:r>
        <w:rPr>
          <w:rFonts w:ascii="Garamond" w:hAnsi="Garamond"/>
        </w:rPr>
        <w:t xml:space="preserve"> </w:t>
      </w:r>
      <w:r w:rsidRPr="00DE6111">
        <w:rPr>
          <w:rFonts w:ascii="Garamond" w:hAnsi="Garamond"/>
        </w:rPr>
        <w:t>and material-ritual engagements with places (</w:t>
      </w:r>
      <w:proofErr w:type="spellStart"/>
      <w:r w:rsidRPr="00DE6111">
        <w:rPr>
          <w:rFonts w:ascii="Garamond" w:hAnsi="Garamond"/>
        </w:rPr>
        <w:t>yorishiro</w:t>
      </w:r>
      <w:proofErr w:type="spellEnd"/>
      <w:r w:rsidRPr="00DE6111">
        <w:rPr>
          <w:rFonts w:ascii="Garamond" w:hAnsi="Garamond"/>
        </w:rPr>
        <w:t>). The processes of "</w:t>
      </w:r>
      <w:proofErr w:type="spellStart"/>
      <w:r w:rsidRPr="00DE6111">
        <w:rPr>
          <w:rFonts w:ascii="Garamond" w:hAnsi="Garamond"/>
        </w:rPr>
        <w:t>kamification</w:t>
      </w:r>
      <w:proofErr w:type="spellEnd"/>
      <w:r w:rsidRPr="00DE6111">
        <w:rPr>
          <w:rFonts w:ascii="Garamond" w:hAnsi="Garamond"/>
        </w:rPr>
        <w:t>"—the contingent and context-dependent practices by which ambiguous</w:t>
      </w:r>
      <w:r>
        <w:rPr>
          <w:rFonts w:ascii="Garamond" w:hAnsi="Garamond"/>
        </w:rPr>
        <w:t xml:space="preserve"> </w:t>
      </w:r>
      <w:r w:rsidRPr="00DE6111">
        <w:rPr>
          <w:rFonts w:ascii="Garamond" w:hAnsi="Garamond"/>
        </w:rPr>
        <w:t>potency (kami-nature) is acknowledged, negotiated, and enacted—thus replace "kami</w:t>
      </w:r>
      <w:r>
        <w:rPr>
          <w:rFonts w:ascii="Garamond" w:hAnsi="Garamond"/>
        </w:rPr>
        <w:t>-</w:t>
      </w:r>
      <w:r w:rsidRPr="00DE6111">
        <w:rPr>
          <w:rFonts w:ascii="Garamond" w:hAnsi="Garamond"/>
        </w:rPr>
        <w:t>as-noun" as the focus of the research. In terms of methodology, it takes a practice-</w:t>
      </w:r>
      <w:proofErr w:type="spellStart"/>
      <w:r w:rsidRPr="00DE6111">
        <w:rPr>
          <w:rFonts w:ascii="Garamond" w:hAnsi="Garamond"/>
        </w:rPr>
        <w:t>centered</w:t>
      </w:r>
      <w:proofErr w:type="spellEnd"/>
      <w:r w:rsidRPr="00DE6111">
        <w:rPr>
          <w:rFonts w:ascii="Garamond" w:hAnsi="Garamond"/>
        </w:rPr>
        <w:t xml:space="preserve"> approach to the yearly </w:t>
      </w:r>
      <w:proofErr w:type="spellStart"/>
      <w:r w:rsidRPr="00DE6111">
        <w:rPr>
          <w:rFonts w:ascii="Garamond" w:hAnsi="Garamond"/>
        </w:rPr>
        <w:t>Kanname-sai</w:t>
      </w:r>
      <w:proofErr w:type="spellEnd"/>
      <w:r w:rsidRPr="00DE6111">
        <w:rPr>
          <w:rFonts w:ascii="Garamond" w:hAnsi="Garamond"/>
        </w:rPr>
        <w:t xml:space="preserve"> celebration at the Grand Shrine of Ise. It</w:t>
      </w:r>
      <w:r>
        <w:rPr>
          <w:rFonts w:ascii="Garamond" w:hAnsi="Garamond"/>
        </w:rPr>
        <w:t xml:space="preserve"> </w:t>
      </w:r>
      <w:r w:rsidRPr="00DE6111">
        <w:rPr>
          <w:rFonts w:ascii="Garamond" w:hAnsi="Garamond"/>
        </w:rPr>
        <w:t>shows how the ceremonial gathering, offering, and consumption of the first rice</w:t>
      </w:r>
      <w:r>
        <w:rPr>
          <w:rFonts w:ascii="Garamond" w:hAnsi="Garamond"/>
        </w:rPr>
        <w:t xml:space="preserve"> </w:t>
      </w:r>
      <w:r w:rsidRPr="00DE6111">
        <w:rPr>
          <w:rFonts w:ascii="Garamond" w:hAnsi="Garamond"/>
        </w:rPr>
        <w:t>harvest materializes kami as a circulating vitality within a relational circuit that links</w:t>
      </w:r>
      <w:r>
        <w:rPr>
          <w:rFonts w:ascii="Garamond" w:hAnsi="Garamond"/>
        </w:rPr>
        <w:t xml:space="preserve"> </w:t>
      </w:r>
      <w:r w:rsidRPr="00DE6111">
        <w:rPr>
          <w:rFonts w:ascii="Garamond" w:hAnsi="Garamond"/>
        </w:rPr>
        <w:t>deities, priests, the emperor, the rice, and the land rather than as a static presence. This</w:t>
      </w:r>
      <w:r>
        <w:rPr>
          <w:rFonts w:ascii="Garamond" w:hAnsi="Garamond"/>
        </w:rPr>
        <w:t xml:space="preserve"> </w:t>
      </w:r>
      <w:r w:rsidRPr="00DE6111">
        <w:rPr>
          <w:rFonts w:ascii="Garamond" w:hAnsi="Garamond"/>
        </w:rPr>
        <w:t>case study shows how Shinto offers a potent empirical paradigm for studying religion</w:t>
      </w:r>
      <w:r>
        <w:rPr>
          <w:rFonts w:ascii="Garamond" w:hAnsi="Garamond"/>
        </w:rPr>
        <w:t xml:space="preserve"> </w:t>
      </w:r>
      <w:r w:rsidRPr="00DE6111">
        <w:rPr>
          <w:rFonts w:ascii="Garamond" w:hAnsi="Garamond"/>
        </w:rPr>
        <w:t>"without an object," where the analytical focus is on the shifting boundaries and</w:t>
      </w:r>
      <w:r>
        <w:rPr>
          <w:rFonts w:ascii="Garamond" w:hAnsi="Garamond"/>
        </w:rPr>
        <w:t xml:space="preserve"> </w:t>
      </w:r>
      <w:r w:rsidRPr="00DE6111">
        <w:rPr>
          <w:rFonts w:ascii="Garamond" w:hAnsi="Garamond"/>
        </w:rPr>
        <w:t>transformational connections that produce transient, event-based sacredness. This</w:t>
      </w:r>
      <w:r>
        <w:rPr>
          <w:rFonts w:ascii="Garamond" w:hAnsi="Garamond"/>
        </w:rPr>
        <w:t xml:space="preserve"> </w:t>
      </w:r>
      <w:r w:rsidRPr="00DE6111">
        <w:rPr>
          <w:rFonts w:ascii="Garamond" w:hAnsi="Garamond"/>
        </w:rPr>
        <w:t xml:space="preserve">paper </w:t>
      </w:r>
      <w:proofErr w:type="gramStart"/>
      <w:r w:rsidRPr="00DE6111">
        <w:rPr>
          <w:rFonts w:ascii="Garamond" w:hAnsi="Garamond"/>
        </w:rPr>
        <w:t>comes to the conclusion</w:t>
      </w:r>
      <w:proofErr w:type="gramEnd"/>
      <w:r w:rsidRPr="00DE6111">
        <w:rPr>
          <w:rFonts w:ascii="Garamond" w:hAnsi="Garamond"/>
        </w:rPr>
        <w:t xml:space="preserve"> that this approach, which is based on emic practices,</w:t>
      </w:r>
      <w:r>
        <w:rPr>
          <w:rFonts w:ascii="Garamond" w:hAnsi="Garamond"/>
        </w:rPr>
        <w:t xml:space="preserve"> </w:t>
      </w:r>
      <w:r w:rsidRPr="00DE6111">
        <w:rPr>
          <w:rFonts w:ascii="Garamond" w:hAnsi="Garamond"/>
        </w:rPr>
        <w:t>provides a crucial heuristic for de-</w:t>
      </w:r>
      <w:proofErr w:type="spellStart"/>
      <w:r w:rsidRPr="00DE6111">
        <w:rPr>
          <w:rFonts w:ascii="Garamond" w:hAnsi="Garamond"/>
        </w:rPr>
        <w:t>centering</w:t>
      </w:r>
      <w:proofErr w:type="spellEnd"/>
      <w:r w:rsidRPr="00DE6111">
        <w:rPr>
          <w:rFonts w:ascii="Garamond" w:hAnsi="Garamond"/>
        </w:rPr>
        <w:t xml:space="preserve"> </w:t>
      </w:r>
      <w:proofErr w:type="spellStart"/>
      <w:r w:rsidRPr="00DE6111">
        <w:rPr>
          <w:rFonts w:ascii="Garamond" w:hAnsi="Garamond"/>
        </w:rPr>
        <w:t>substantivist</w:t>
      </w:r>
      <w:proofErr w:type="spellEnd"/>
      <w:r w:rsidRPr="00DE6111">
        <w:rPr>
          <w:rFonts w:ascii="Garamond" w:hAnsi="Garamond"/>
        </w:rPr>
        <w:t xml:space="preserve"> presumptions in religious</w:t>
      </w:r>
      <w:r>
        <w:rPr>
          <w:rFonts w:ascii="Garamond" w:hAnsi="Garamond"/>
        </w:rPr>
        <w:t xml:space="preserve"> </w:t>
      </w:r>
      <w:r w:rsidRPr="00DE6111">
        <w:rPr>
          <w:rFonts w:ascii="Garamond" w:hAnsi="Garamond"/>
        </w:rPr>
        <w:t>studies and emphasizes the methodological importance of firmly establishing</w:t>
      </w:r>
      <w:r>
        <w:rPr>
          <w:rFonts w:ascii="Garamond" w:hAnsi="Garamond"/>
        </w:rPr>
        <w:t xml:space="preserve"> </w:t>
      </w:r>
      <w:r w:rsidRPr="00DE6111">
        <w:rPr>
          <w:rFonts w:ascii="Garamond" w:hAnsi="Garamond"/>
        </w:rPr>
        <w:t>theoretical criticisms of reification in in-depth, tradition-specific case studies.</w:t>
      </w:r>
    </w:p>
    <w:p w14:paraId="33E0EA09" w14:textId="77777777" w:rsidR="00DE6111" w:rsidRDefault="00DE6111" w:rsidP="00DE6111">
      <w:pPr>
        <w:spacing w:line="276" w:lineRule="auto"/>
        <w:jc w:val="both"/>
        <w:rPr>
          <w:rFonts w:ascii="Garamond" w:hAnsi="Garamond"/>
        </w:rPr>
      </w:pPr>
    </w:p>
    <w:p w14:paraId="633B678E" w14:textId="287EFC16" w:rsidR="00DE6111" w:rsidRDefault="00DE6111" w:rsidP="00DE6111">
      <w:pPr>
        <w:rPr>
          <w:rFonts w:ascii="Garamond" w:hAnsi="Garamond"/>
        </w:rPr>
      </w:pPr>
    </w:p>
    <w:p w14:paraId="6211EF09" w14:textId="77777777" w:rsidR="00DE6111" w:rsidRDefault="00DE6111" w:rsidP="00DE6111">
      <w:pPr>
        <w:rPr>
          <w:rFonts w:ascii="Garamond" w:hAnsi="Garamond"/>
        </w:rPr>
      </w:pPr>
    </w:p>
    <w:p w14:paraId="1D6982C6" w14:textId="77777777" w:rsidR="00DE6111" w:rsidRDefault="00DE6111" w:rsidP="00DE6111">
      <w:pPr>
        <w:rPr>
          <w:rFonts w:ascii="Garamond" w:hAnsi="Garamond"/>
        </w:rPr>
      </w:pPr>
    </w:p>
    <w:p w14:paraId="53CCC9DF" w14:textId="77777777" w:rsidR="00DE6111" w:rsidRDefault="00DE6111" w:rsidP="00DE6111">
      <w:pPr>
        <w:spacing w:line="276" w:lineRule="auto"/>
        <w:jc w:val="both"/>
        <w:rPr>
          <w:rFonts w:ascii="Garamond" w:hAnsi="Garamond"/>
        </w:rPr>
      </w:pPr>
      <w:r w:rsidRPr="00647D1D">
        <w:rPr>
          <w:rFonts w:ascii="Garamond" w:hAnsi="Garamond"/>
          <w:b/>
          <w:bCs/>
        </w:rPr>
        <w:lastRenderedPageBreak/>
        <w:t xml:space="preserve">Rafal K. Stepien </w:t>
      </w:r>
      <w:r w:rsidRPr="00647D1D">
        <w:rPr>
          <w:rFonts w:ascii="Garamond" w:hAnsi="Garamond"/>
        </w:rPr>
        <w:t>(Austrian Academy of Sciences</w:t>
      </w:r>
      <w:r>
        <w:rPr>
          <w:rFonts w:ascii="Garamond" w:hAnsi="Garamond"/>
        </w:rPr>
        <w:t>, Austria</w:t>
      </w:r>
      <w:r w:rsidRPr="00647D1D">
        <w:rPr>
          <w:rFonts w:ascii="Garamond" w:hAnsi="Garamond"/>
        </w:rPr>
        <w:t>)</w:t>
      </w:r>
      <w:r w:rsidRPr="00647D1D">
        <w:rPr>
          <w:rFonts w:ascii="Garamond" w:hAnsi="Garamond"/>
          <w:b/>
          <w:bCs/>
        </w:rPr>
        <w:t xml:space="preserve"> </w:t>
      </w:r>
      <w:r w:rsidRPr="00647D1D">
        <w:rPr>
          <w:rFonts w:ascii="Garamond" w:hAnsi="Garamond"/>
        </w:rPr>
        <w:t>–</w:t>
      </w:r>
      <w:r>
        <w:rPr>
          <w:rFonts w:ascii="Garamond" w:hAnsi="Garamond"/>
        </w:rPr>
        <w:t xml:space="preserve"> </w:t>
      </w:r>
      <w:r w:rsidRPr="00647D1D">
        <w:rPr>
          <w:rFonts w:ascii="Garamond" w:hAnsi="Garamond"/>
        </w:rPr>
        <w:t>On Absent Objects: Religious Studies Without Religions</w:t>
      </w:r>
    </w:p>
    <w:p w14:paraId="3DC543F4" w14:textId="495ECCE5" w:rsidR="00DE6111" w:rsidRDefault="00DE6111" w:rsidP="00DE6111">
      <w:pPr>
        <w:jc w:val="both"/>
        <w:rPr>
          <w:rFonts w:ascii="Garamond" w:hAnsi="Garamond"/>
        </w:rPr>
      </w:pPr>
      <w:r w:rsidRPr="00DE6111">
        <w:rPr>
          <w:rFonts w:ascii="Garamond" w:hAnsi="Garamond"/>
        </w:rPr>
        <w:t xml:space="preserve">‘Religious Studies’ arose and remains practiced within Western </w:t>
      </w:r>
      <w:proofErr w:type="spellStart"/>
      <w:r w:rsidRPr="00DE6111">
        <w:rPr>
          <w:rFonts w:ascii="Garamond" w:hAnsi="Garamond"/>
        </w:rPr>
        <w:t>Christianate</w:t>
      </w:r>
      <w:proofErr w:type="spellEnd"/>
      <w:r w:rsidRPr="00DE6111">
        <w:rPr>
          <w:rFonts w:ascii="Garamond" w:hAnsi="Garamond"/>
        </w:rPr>
        <w:t xml:space="preserve"> cultures and</w:t>
      </w:r>
      <w:r>
        <w:rPr>
          <w:rFonts w:ascii="Garamond" w:hAnsi="Garamond"/>
        </w:rPr>
        <w:t xml:space="preserve"> </w:t>
      </w:r>
      <w:r w:rsidRPr="00DE6111">
        <w:rPr>
          <w:rFonts w:ascii="Garamond" w:hAnsi="Garamond"/>
        </w:rPr>
        <w:t>cultures of knowledge, from whence it has spread to attain normative status around the globe.</w:t>
      </w:r>
      <w:r>
        <w:rPr>
          <w:rFonts w:ascii="Garamond" w:hAnsi="Garamond"/>
        </w:rPr>
        <w:t xml:space="preserve"> </w:t>
      </w:r>
      <w:r w:rsidRPr="00DE6111">
        <w:rPr>
          <w:rFonts w:ascii="Garamond" w:hAnsi="Garamond"/>
        </w:rPr>
        <w:t xml:space="preserve">The discipline not only remains saturated with Western </w:t>
      </w:r>
      <w:proofErr w:type="spellStart"/>
      <w:r w:rsidRPr="00DE6111">
        <w:rPr>
          <w:rFonts w:ascii="Garamond" w:hAnsi="Garamond"/>
        </w:rPr>
        <w:t>Christianate</w:t>
      </w:r>
      <w:proofErr w:type="spellEnd"/>
      <w:r w:rsidRPr="00DE6111">
        <w:rPr>
          <w:rFonts w:ascii="Garamond" w:hAnsi="Garamond"/>
        </w:rPr>
        <w:t xml:space="preserve"> paradigms and</w:t>
      </w:r>
      <w:r>
        <w:rPr>
          <w:rFonts w:ascii="Garamond" w:hAnsi="Garamond"/>
        </w:rPr>
        <w:t xml:space="preserve"> </w:t>
      </w:r>
      <w:proofErr w:type="gramStart"/>
      <w:r w:rsidRPr="00DE6111">
        <w:rPr>
          <w:rFonts w:ascii="Garamond" w:hAnsi="Garamond"/>
        </w:rPr>
        <w:t>presuppositions, but</w:t>
      </w:r>
      <w:proofErr w:type="gramEnd"/>
      <w:r w:rsidRPr="00DE6111">
        <w:rPr>
          <w:rFonts w:ascii="Garamond" w:hAnsi="Garamond"/>
        </w:rPr>
        <w:t xml:space="preserve"> continues to focus overwhelmingly on religious objects stemming from</w:t>
      </w:r>
      <w:r>
        <w:rPr>
          <w:rFonts w:ascii="Garamond" w:hAnsi="Garamond"/>
        </w:rPr>
        <w:t xml:space="preserve"> </w:t>
      </w:r>
      <w:r w:rsidRPr="00DE6111">
        <w:rPr>
          <w:rFonts w:ascii="Garamond" w:hAnsi="Garamond"/>
        </w:rPr>
        <w:t xml:space="preserve">Western </w:t>
      </w:r>
      <w:proofErr w:type="spellStart"/>
      <w:r w:rsidRPr="00DE6111">
        <w:rPr>
          <w:rFonts w:ascii="Garamond" w:hAnsi="Garamond"/>
        </w:rPr>
        <w:t>Christianate</w:t>
      </w:r>
      <w:proofErr w:type="spellEnd"/>
      <w:r w:rsidRPr="00DE6111">
        <w:rPr>
          <w:rFonts w:ascii="Garamond" w:hAnsi="Garamond"/>
        </w:rPr>
        <w:t xml:space="preserve"> cultures. In this paper, I first propose distinctions between ‘religious’ and</w:t>
      </w:r>
      <w:r>
        <w:rPr>
          <w:rFonts w:ascii="Garamond" w:hAnsi="Garamond"/>
        </w:rPr>
        <w:t xml:space="preserve"> </w:t>
      </w:r>
      <w:r w:rsidRPr="00DE6111">
        <w:rPr>
          <w:rFonts w:ascii="Garamond" w:hAnsi="Garamond"/>
        </w:rPr>
        <w:t>‘</w:t>
      </w:r>
      <w:proofErr w:type="spellStart"/>
      <w:r w:rsidRPr="00DE6111">
        <w:rPr>
          <w:rFonts w:ascii="Garamond" w:hAnsi="Garamond"/>
        </w:rPr>
        <w:t>religionate</w:t>
      </w:r>
      <w:proofErr w:type="spellEnd"/>
      <w:r w:rsidRPr="00DE6111">
        <w:rPr>
          <w:rFonts w:ascii="Garamond" w:hAnsi="Garamond"/>
        </w:rPr>
        <w:t>’, ‘Christian’ and ‘</w:t>
      </w:r>
      <w:proofErr w:type="spellStart"/>
      <w:r w:rsidRPr="00DE6111">
        <w:rPr>
          <w:rFonts w:ascii="Garamond" w:hAnsi="Garamond"/>
        </w:rPr>
        <w:t>Christianate</w:t>
      </w:r>
      <w:proofErr w:type="spellEnd"/>
      <w:r w:rsidRPr="00DE6111">
        <w:rPr>
          <w:rFonts w:ascii="Garamond" w:hAnsi="Garamond"/>
        </w:rPr>
        <w:t>’, ‘Buddhist’ and ‘</w:t>
      </w:r>
      <w:proofErr w:type="spellStart"/>
      <w:r w:rsidRPr="00DE6111">
        <w:rPr>
          <w:rFonts w:ascii="Garamond" w:hAnsi="Garamond"/>
        </w:rPr>
        <w:t>Buddhate</w:t>
      </w:r>
      <w:proofErr w:type="spellEnd"/>
      <w:r w:rsidRPr="00DE6111">
        <w:rPr>
          <w:rFonts w:ascii="Garamond" w:hAnsi="Garamond"/>
        </w:rPr>
        <w:t>’ analogous to that first</w:t>
      </w:r>
      <w:r>
        <w:rPr>
          <w:rFonts w:ascii="Garamond" w:hAnsi="Garamond"/>
        </w:rPr>
        <w:t xml:space="preserve"> </w:t>
      </w:r>
      <w:r w:rsidRPr="00DE6111">
        <w:rPr>
          <w:rFonts w:ascii="Garamond" w:hAnsi="Garamond"/>
        </w:rPr>
        <w:t>applied by Marshall Hodgson between ‘Islamic’ and ‘</w:t>
      </w:r>
      <w:proofErr w:type="spellStart"/>
      <w:r w:rsidRPr="00DE6111">
        <w:rPr>
          <w:rFonts w:ascii="Garamond" w:hAnsi="Garamond"/>
        </w:rPr>
        <w:t>Islamicate</w:t>
      </w:r>
      <w:proofErr w:type="spellEnd"/>
      <w:r w:rsidRPr="00DE6111">
        <w:rPr>
          <w:rFonts w:ascii="Garamond" w:hAnsi="Garamond"/>
        </w:rPr>
        <w:t>’ and standing respectively</w:t>
      </w:r>
      <w:r>
        <w:rPr>
          <w:rFonts w:ascii="Garamond" w:hAnsi="Garamond"/>
        </w:rPr>
        <w:t xml:space="preserve"> </w:t>
      </w:r>
      <w:r w:rsidRPr="00DE6111">
        <w:rPr>
          <w:rFonts w:ascii="Garamond" w:hAnsi="Garamond"/>
        </w:rPr>
        <w:t>“for what we may call religion and for the overall society and culture associated historically</w:t>
      </w:r>
      <w:r>
        <w:rPr>
          <w:rFonts w:ascii="Garamond" w:hAnsi="Garamond"/>
        </w:rPr>
        <w:t xml:space="preserve"> </w:t>
      </w:r>
      <w:r w:rsidRPr="00DE6111">
        <w:rPr>
          <w:rFonts w:ascii="Garamond" w:hAnsi="Garamond"/>
        </w:rPr>
        <w:t>with the religion” (Hodgson 1974: 57). Given the placement of this paper within an official</w:t>
      </w:r>
      <w:r>
        <w:rPr>
          <w:rFonts w:ascii="Garamond" w:hAnsi="Garamond"/>
        </w:rPr>
        <w:t xml:space="preserve"> </w:t>
      </w:r>
      <w:r w:rsidRPr="00DE6111">
        <w:rPr>
          <w:rFonts w:ascii="Garamond" w:hAnsi="Garamond"/>
        </w:rPr>
        <w:t xml:space="preserve">Summer School of the International Association for the History of Religions (IAHR) in the </w:t>
      </w:r>
      <w:proofErr w:type="spellStart"/>
      <w:r w:rsidRPr="00DE6111">
        <w:rPr>
          <w:rFonts w:ascii="Garamond" w:hAnsi="Garamond"/>
        </w:rPr>
        <w:t>for</w:t>
      </w:r>
      <w:proofErr w:type="spellEnd"/>
      <w:r>
        <w:rPr>
          <w:rFonts w:ascii="Garamond" w:hAnsi="Garamond"/>
        </w:rPr>
        <w:t xml:space="preserve"> </w:t>
      </w:r>
      <w:r w:rsidRPr="00DE6111">
        <w:rPr>
          <w:rFonts w:ascii="Garamond" w:hAnsi="Garamond"/>
        </w:rPr>
        <w:t>of the workshop on ‘Study of Religion Without an Object? Global Perspectives’, I then focus</w:t>
      </w:r>
      <w:r>
        <w:rPr>
          <w:rFonts w:ascii="Garamond" w:hAnsi="Garamond"/>
        </w:rPr>
        <w:t xml:space="preserve"> </w:t>
      </w:r>
      <w:r w:rsidRPr="00DE6111">
        <w:rPr>
          <w:rFonts w:ascii="Garamond" w:hAnsi="Garamond"/>
        </w:rPr>
        <w:t>on the study of religion and its objects, detailing the ways in which the field betrays, still, a</w:t>
      </w:r>
      <w:r>
        <w:rPr>
          <w:rFonts w:ascii="Garamond" w:hAnsi="Garamond"/>
        </w:rPr>
        <w:t xml:space="preserve"> </w:t>
      </w:r>
      <w:r w:rsidRPr="00DE6111">
        <w:rPr>
          <w:rFonts w:ascii="Garamond" w:hAnsi="Garamond"/>
        </w:rPr>
        <w:t>preponderant privileging of its Christian heritage in myriad ways, be they structural-institutional (e.g., in the number of positions advertised and held, courses taught, books and</w:t>
      </w:r>
      <w:r>
        <w:rPr>
          <w:rFonts w:ascii="Garamond" w:hAnsi="Garamond"/>
        </w:rPr>
        <w:t xml:space="preserve"> </w:t>
      </w:r>
      <w:r w:rsidRPr="00DE6111">
        <w:rPr>
          <w:rFonts w:ascii="Garamond" w:hAnsi="Garamond"/>
        </w:rPr>
        <w:t>journals published) or conceptual-hermeneutic (e.g., in the topics, templates, theories,</w:t>
      </w:r>
      <w:r>
        <w:rPr>
          <w:rFonts w:ascii="Garamond" w:hAnsi="Garamond"/>
        </w:rPr>
        <w:t xml:space="preserve"> </w:t>
      </w:r>
      <w:r w:rsidRPr="00DE6111">
        <w:rPr>
          <w:rFonts w:ascii="Garamond" w:hAnsi="Garamond"/>
        </w:rPr>
        <w:t xml:space="preserve">taxonomies, and terminologies prioritized and </w:t>
      </w:r>
      <w:proofErr w:type="spellStart"/>
      <w:r w:rsidRPr="00DE6111">
        <w:rPr>
          <w:rFonts w:ascii="Garamond" w:hAnsi="Garamond"/>
        </w:rPr>
        <w:t>prestigified</w:t>
      </w:r>
      <w:proofErr w:type="spellEnd"/>
      <w:r w:rsidRPr="00DE6111">
        <w:rPr>
          <w:rFonts w:ascii="Garamond" w:hAnsi="Garamond"/>
        </w:rPr>
        <w:t>). I then argue that the academic</w:t>
      </w:r>
      <w:r>
        <w:rPr>
          <w:rFonts w:ascii="Garamond" w:hAnsi="Garamond"/>
        </w:rPr>
        <w:t xml:space="preserve"> </w:t>
      </w:r>
      <w:r w:rsidRPr="00DE6111">
        <w:rPr>
          <w:rFonts w:ascii="Garamond" w:hAnsi="Garamond"/>
        </w:rPr>
        <w:t xml:space="preserve">study of Buddhism continues to be undertaken, in part, in a </w:t>
      </w:r>
      <w:proofErr w:type="spellStart"/>
      <w:r w:rsidRPr="00DE6111">
        <w:rPr>
          <w:rFonts w:ascii="Garamond" w:hAnsi="Garamond"/>
        </w:rPr>
        <w:t>Christianate</w:t>
      </w:r>
      <w:proofErr w:type="spellEnd"/>
      <w:r w:rsidRPr="00DE6111">
        <w:rPr>
          <w:rFonts w:ascii="Garamond" w:hAnsi="Garamond"/>
        </w:rPr>
        <w:t xml:space="preserve"> manner. For Buddhism,</w:t>
      </w:r>
      <w:r>
        <w:rPr>
          <w:rFonts w:ascii="Garamond" w:hAnsi="Garamond"/>
        </w:rPr>
        <w:t xml:space="preserve"> </w:t>
      </w:r>
      <w:r w:rsidRPr="00DE6111">
        <w:rPr>
          <w:rFonts w:ascii="Garamond" w:hAnsi="Garamond"/>
        </w:rPr>
        <w:t>this tradition “in the European imagination… at once alien and familiar” (</w:t>
      </w:r>
      <w:proofErr w:type="spellStart"/>
      <w:r w:rsidRPr="00DE6111">
        <w:rPr>
          <w:rFonts w:ascii="Garamond" w:hAnsi="Garamond"/>
        </w:rPr>
        <w:t>Masuzawa</w:t>
      </w:r>
      <w:proofErr w:type="spellEnd"/>
      <w:r w:rsidRPr="00DE6111">
        <w:rPr>
          <w:rFonts w:ascii="Garamond" w:hAnsi="Garamond"/>
        </w:rPr>
        <w:t xml:space="preserve"> 2005),</w:t>
      </w:r>
      <w:r>
        <w:rPr>
          <w:rFonts w:ascii="Garamond" w:hAnsi="Garamond"/>
        </w:rPr>
        <w:t xml:space="preserve"> </w:t>
      </w:r>
      <w:r w:rsidRPr="00DE6111">
        <w:rPr>
          <w:rFonts w:ascii="Garamond" w:hAnsi="Garamond"/>
        </w:rPr>
        <w:t>“embraced by the West as both an alternative religion and an alternative to religion” (Lopez</w:t>
      </w:r>
      <w:r>
        <w:rPr>
          <w:rFonts w:ascii="Garamond" w:hAnsi="Garamond"/>
        </w:rPr>
        <w:t xml:space="preserve"> </w:t>
      </w:r>
      <w:r w:rsidRPr="00DE6111">
        <w:rPr>
          <w:rFonts w:ascii="Garamond" w:hAnsi="Garamond"/>
        </w:rPr>
        <w:t>2005), confounds the conceptual categories and disciplinary boundaries still routinely imposed</w:t>
      </w:r>
      <w:r>
        <w:rPr>
          <w:rFonts w:ascii="Garamond" w:hAnsi="Garamond"/>
        </w:rPr>
        <w:t xml:space="preserve"> </w:t>
      </w:r>
      <w:r w:rsidRPr="00DE6111">
        <w:rPr>
          <w:rFonts w:ascii="Garamond" w:hAnsi="Garamond"/>
        </w:rPr>
        <w:t>upon it. On this basis, I suggest one way by which the study of Buddhism may move beyond</w:t>
      </w:r>
      <w:r>
        <w:rPr>
          <w:rFonts w:ascii="Garamond" w:hAnsi="Garamond"/>
        </w:rPr>
        <w:t xml:space="preserve"> </w:t>
      </w:r>
      <w:r w:rsidRPr="00DE6111">
        <w:rPr>
          <w:rFonts w:ascii="Garamond" w:hAnsi="Garamond"/>
        </w:rPr>
        <w:t>theoretical paradigms and disciplinary boundaries ill-suited to its elaboration. As such, in the</w:t>
      </w:r>
      <w:r>
        <w:rPr>
          <w:rFonts w:ascii="Garamond" w:hAnsi="Garamond"/>
        </w:rPr>
        <w:t xml:space="preserve"> </w:t>
      </w:r>
      <w:r w:rsidRPr="00DE6111">
        <w:rPr>
          <w:rFonts w:ascii="Garamond" w:hAnsi="Garamond"/>
        </w:rPr>
        <w:t>final portion of my paper I attempt to formulate the study of Buddhism as a ‘</w:t>
      </w:r>
      <w:proofErr w:type="spellStart"/>
      <w:r w:rsidRPr="00DE6111">
        <w:rPr>
          <w:rFonts w:ascii="Garamond" w:hAnsi="Garamond"/>
        </w:rPr>
        <w:t>religiosophy</w:t>
      </w:r>
      <w:proofErr w:type="spellEnd"/>
      <w:r w:rsidRPr="00DE6111">
        <w:rPr>
          <w:rFonts w:ascii="Garamond" w:hAnsi="Garamond"/>
        </w:rPr>
        <w:t>’. In</w:t>
      </w:r>
      <w:r>
        <w:rPr>
          <w:rFonts w:ascii="Garamond" w:hAnsi="Garamond"/>
        </w:rPr>
        <w:t xml:space="preserve"> </w:t>
      </w:r>
      <w:r w:rsidRPr="00DE6111">
        <w:rPr>
          <w:rFonts w:ascii="Garamond" w:hAnsi="Garamond"/>
        </w:rPr>
        <w:t>exploring these issues, this paper relates directly to the workshop focus on ‘Global Perspectives’</w:t>
      </w:r>
      <w:r>
        <w:rPr>
          <w:rFonts w:ascii="Garamond" w:hAnsi="Garamond"/>
        </w:rPr>
        <w:t xml:space="preserve"> </w:t>
      </w:r>
      <w:r w:rsidRPr="00DE6111">
        <w:rPr>
          <w:rFonts w:ascii="Garamond" w:hAnsi="Garamond"/>
        </w:rPr>
        <w:t>in that it retheorizes ‘religion</w:t>
      </w:r>
      <w:proofErr w:type="gramStart"/>
      <w:r w:rsidRPr="00DE6111">
        <w:rPr>
          <w:rFonts w:ascii="Garamond" w:hAnsi="Garamond"/>
        </w:rPr>
        <w:t>’</w:t>
      </w:r>
      <w:r>
        <w:rPr>
          <w:rFonts w:ascii="Garamond" w:hAnsi="Garamond"/>
        </w:rPr>
        <w:t>,</w:t>
      </w:r>
      <w:r w:rsidRPr="00DE6111">
        <w:rPr>
          <w:rFonts w:ascii="Garamond" w:hAnsi="Garamond"/>
        </w:rPr>
        <w:t xml:space="preserve"> and</w:t>
      </w:r>
      <w:proofErr w:type="gramEnd"/>
      <w:r w:rsidRPr="00DE6111">
        <w:rPr>
          <w:rFonts w:ascii="Garamond" w:hAnsi="Garamond"/>
        </w:rPr>
        <w:t xml:space="preserve"> redraws religious studies’ historically contingent theoretical</w:t>
      </w:r>
      <w:r>
        <w:rPr>
          <w:rFonts w:ascii="Garamond" w:hAnsi="Garamond"/>
        </w:rPr>
        <w:t xml:space="preserve"> </w:t>
      </w:r>
      <w:r w:rsidRPr="00DE6111">
        <w:rPr>
          <w:rFonts w:ascii="Garamond" w:hAnsi="Garamond"/>
        </w:rPr>
        <w:t>and methodological disciplinary identity in relation to its (largely singular) object, according</w:t>
      </w:r>
      <w:r>
        <w:rPr>
          <w:rFonts w:ascii="Garamond" w:hAnsi="Garamond"/>
        </w:rPr>
        <w:t xml:space="preserve"> </w:t>
      </w:r>
      <w:r w:rsidRPr="00DE6111">
        <w:rPr>
          <w:rFonts w:ascii="Garamond" w:hAnsi="Garamond"/>
        </w:rPr>
        <w:t>to the paradigms of a distinctly non-Western/non-Christian, and historically both physically</w:t>
      </w:r>
      <w:r>
        <w:rPr>
          <w:rFonts w:ascii="Garamond" w:hAnsi="Garamond"/>
        </w:rPr>
        <w:t xml:space="preserve"> </w:t>
      </w:r>
      <w:r w:rsidRPr="00DE6111">
        <w:rPr>
          <w:rFonts w:ascii="Garamond" w:hAnsi="Garamond"/>
        </w:rPr>
        <w:t>and conceptually colonized, Other.</w:t>
      </w:r>
      <w:r>
        <w:rPr>
          <w:rFonts w:ascii="Garamond" w:hAnsi="Garamond"/>
        </w:rPr>
        <w:t xml:space="preserve"> </w:t>
      </w:r>
    </w:p>
    <w:p w14:paraId="471B7566" w14:textId="77777777" w:rsidR="00DE6111" w:rsidRDefault="00DE6111" w:rsidP="00DE6111">
      <w:pPr>
        <w:jc w:val="both"/>
        <w:rPr>
          <w:rFonts w:ascii="Garamond" w:hAnsi="Garamond"/>
        </w:rPr>
      </w:pPr>
    </w:p>
    <w:p w14:paraId="04A1B128" w14:textId="77777777" w:rsidR="00DE6111" w:rsidRDefault="00DE6111" w:rsidP="00DE6111">
      <w:pPr>
        <w:spacing w:line="276" w:lineRule="auto"/>
        <w:jc w:val="both"/>
        <w:rPr>
          <w:rFonts w:ascii="Garamond" w:hAnsi="Garamond"/>
        </w:rPr>
      </w:pPr>
      <w:proofErr w:type="spellStart"/>
      <w:r w:rsidRPr="00647D1D">
        <w:rPr>
          <w:rFonts w:ascii="Garamond" w:hAnsi="Garamond"/>
          <w:b/>
          <w:bCs/>
        </w:rPr>
        <w:t>Evakordor</w:t>
      </w:r>
      <w:proofErr w:type="spellEnd"/>
      <w:r w:rsidRPr="00647D1D">
        <w:rPr>
          <w:rFonts w:ascii="Garamond" w:hAnsi="Garamond"/>
          <w:b/>
          <w:bCs/>
        </w:rPr>
        <w:t xml:space="preserve"> Benson </w:t>
      </w:r>
      <w:proofErr w:type="spellStart"/>
      <w:r w:rsidRPr="00647D1D">
        <w:rPr>
          <w:rFonts w:ascii="Garamond" w:hAnsi="Garamond"/>
          <w:b/>
          <w:bCs/>
        </w:rPr>
        <w:t>Diengdoh</w:t>
      </w:r>
      <w:proofErr w:type="spellEnd"/>
      <w:r>
        <w:rPr>
          <w:rFonts w:ascii="Garamond" w:hAnsi="Garamond"/>
        </w:rPr>
        <w:t xml:space="preserve"> (University of Tartu, Estonia) – Are Rituals Religious or Political?</w:t>
      </w:r>
    </w:p>
    <w:p w14:paraId="489F05AB" w14:textId="77777777" w:rsidR="00DE6111" w:rsidRDefault="00DE6111" w:rsidP="00DE6111">
      <w:pPr>
        <w:jc w:val="both"/>
        <w:rPr>
          <w:rFonts w:ascii="Garamond" w:hAnsi="Garamond"/>
        </w:rPr>
      </w:pPr>
      <w:r w:rsidRPr="00DE6111">
        <w:rPr>
          <w:rFonts w:ascii="Garamond" w:hAnsi="Garamond"/>
        </w:rPr>
        <w:t>In the scholarly study of religion, defining and characterizing “religion” has become increasingly</w:t>
      </w:r>
      <w:r>
        <w:rPr>
          <w:rFonts w:ascii="Garamond" w:hAnsi="Garamond"/>
        </w:rPr>
        <w:t xml:space="preserve"> </w:t>
      </w:r>
      <w:r w:rsidRPr="00DE6111">
        <w:rPr>
          <w:rFonts w:ascii="Garamond" w:hAnsi="Garamond"/>
        </w:rPr>
        <w:t>complex, particularly in postcolonial and discursive approaches. Scholars such as Talal Asad have</w:t>
      </w:r>
      <w:r>
        <w:rPr>
          <w:rFonts w:ascii="Garamond" w:hAnsi="Garamond"/>
        </w:rPr>
        <w:t xml:space="preserve"> </w:t>
      </w:r>
      <w:r w:rsidRPr="00DE6111">
        <w:rPr>
          <w:rFonts w:ascii="Garamond" w:hAnsi="Garamond"/>
        </w:rPr>
        <w:t>argued that “religion” is a historically contingent and predominantly Western category, raising</w:t>
      </w:r>
      <w:r>
        <w:rPr>
          <w:rFonts w:ascii="Garamond" w:hAnsi="Garamond"/>
        </w:rPr>
        <w:t xml:space="preserve"> </w:t>
      </w:r>
      <w:r w:rsidRPr="00DE6111">
        <w:rPr>
          <w:rFonts w:ascii="Garamond" w:hAnsi="Garamond"/>
        </w:rPr>
        <w:t>questions and concerns about its applicability in non-European societies.</w:t>
      </w:r>
      <w:r>
        <w:rPr>
          <w:rFonts w:ascii="Garamond" w:hAnsi="Garamond"/>
        </w:rPr>
        <w:t xml:space="preserve"> </w:t>
      </w:r>
      <w:r w:rsidRPr="00DE6111">
        <w:rPr>
          <w:rFonts w:ascii="Garamond" w:hAnsi="Garamond"/>
        </w:rPr>
        <w:t>This issue is observable in the case of the Khasis of Northeast India, an ethnic group for whom</w:t>
      </w:r>
      <w:r>
        <w:rPr>
          <w:rFonts w:ascii="Garamond" w:hAnsi="Garamond"/>
        </w:rPr>
        <w:t xml:space="preserve"> </w:t>
      </w:r>
      <w:r w:rsidRPr="00DE6111">
        <w:rPr>
          <w:rFonts w:ascii="Garamond" w:hAnsi="Garamond"/>
        </w:rPr>
        <w:t>rituals play a central role in individual and communal well-being. Through contact with colonial</w:t>
      </w:r>
      <w:r>
        <w:rPr>
          <w:rFonts w:ascii="Garamond" w:hAnsi="Garamond"/>
        </w:rPr>
        <w:t xml:space="preserve"> </w:t>
      </w:r>
      <w:r w:rsidRPr="00DE6111">
        <w:rPr>
          <w:rFonts w:ascii="Garamond" w:hAnsi="Garamond"/>
        </w:rPr>
        <w:t>administrators and Christian missionaries, some of the diverse local beliefs and practices were</w:t>
      </w:r>
      <w:r>
        <w:rPr>
          <w:rFonts w:ascii="Garamond" w:hAnsi="Garamond"/>
        </w:rPr>
        <w:t xml:space="preserve"> </w:t>
      </w:r>
      <w:r w:rsidRPr="00DE6111">
        <w:rPr>
          <w:rFonts w:ascii="Garamond" w:hAnsi="Garamond"/>
        </w:rPr>
        <w:t>gradually institutionalized under what is now referred to as “Khasi Religion.” Nowadays, rituals</w:t>
      </w:r>
      <w:r>
        <w:rPr>
          <w:rFonts w:ascii="Garamond" w:hAnsi="Garamond"/>
        </w:rPr>
        <w:t xml:space="preserve"> </w:t>
      </w:r>
      <w:r w:rsidRPr="00DE6111">
        <w:rPr>
          <w:rFonts w:ascii="Garamond" w:hAnsi="Garamond"/>
        </w:rPr>
        <w:t>are often taken as expressions of this religion, especially in urban landscapes like Shillong.</w:t>
      </w:r>
      <w:r>
        <w:rPr>
          <w:rFonts w:ascii="Garamond" w:hAnsi="Garamond"/>
        </w:rPr>
        <w:t xml:space="preserve"> </w:t>
      </w:r>
    </w:p>
    <w:p w14:paraId="055DC5A3" w14:textId="23A2195A" w:rsidR="00DE6111" w:rsidRDefault="00DE6111" w:rsidP="00DE6111">
      <w:pPr>
        <w:jc w:val="both"/>
        <w:rPr>
          <w:rFonts w:ascii="Garamond" w:hAnsi="Garamond"/>
        </w:rPr>
      </w:pPr>
      <w:r w:rsidRPr="00DE6111">
        <w:rPr>
          <w:rFonts w:ascii="Garamond" w:hAnsi="Garamond"/>
        </w:rPr>
        <w:t>However, historically, Khasi rituals extended beyond what might be viewed and classified as</w:t>
      </w:r>
      <w:r>
        <w:rPr>
          <w:rFonts w:ascii="Garamond" w:hAnsi="Garamond"/>
        </w:rPr>
        <w:t xml:space="preserve"> </w:t>
      </w:r>
      <w:r w:rsidRPr="00DE6111">
        <w:rPr>
          <w:rFonts w:ascii="Garamond" w:hAnsi="Garamond"/>
        </w:rPr>
        <w:t>“religious.” Rituals played a crucial role in political and social life: the selection and consecration</w:t>
      </w:r>
      <w:r>
        <w:rPr>
          <w:rFonts w:ascii="Garamond" w:hAnsi="Garamond"/>
        </w:rPr>
        <w:t xml:space="preserve"> </w:t>
      </w:r>
      <w:r w:rsidRPr="00DE6111">
        <w:rPr>
          <w:rFonts w:ascii="Garamond" w:hAnsi="Garamond"/>
        </w:rPr>
        <w:lastRenderedPageBreak/>
        <w:t>of local chiefs, as well as the maintenance of public order and communal well-being. Specific</w:t>
      </w:r>
      <w:r>
        <w:rPr>
          <w:rFonts w:ascii="Garamond" w:hAnsi="Garamond"/>
        </w:rPr>
        <w:t xml:space="preserve"> </w:t>
      </w:r>
      <w:r w:rsidRPr="00DE6111">
        <w:rPr>
          <w:rFonts w:ascii="Garamond" w:hAnsi="Garamond"/>
        </w:rPr>
        <w:t>rituals were also done in households, clans and villages for communication with the supernatural</w:t>
      </w:r>
      <w:r>
        <w:rPr>
          <w:rFonts w:ascii="Garamond" w:hAnsi="Garamond"/>
        </w:rPr>
        <w:t xml:space="preserve"> </w:t>
      </w:r>
      <w:r w:rsidRPr="00DE6111">
        <w:rPr>
          <w:rFonts w:ascii="Garamond" w:hAnsi="Garamond"/>
        </w:rPr>
        <w:t>and for certain milestones such as marriage, divorce, etc. The distinction between what is</w:t>
      </w:r>
      <w:r>
        <w:rPr>
          <w:rFonts w:ascii="Garamond" w:hAnsi="Garamond"/>
        </w:rPr>
        <w:t xml:space="preserve"> </w:t>
      </w:r>
      <w:r w:rsidRPr="00DE6111">
        <w:rPr>
          <w:rFonts w:ascii="Garamond" w:hAnsi="Garamond"/>
        </w:rPr>
        <w:t>considered “religious” or not remained unclear until institutionalization attempts.</w:t>
      </w:r>
      <w:r>
        <w:rPr>
          <w:rFonts w:ascii="Garamond" w:hAnsi="Garamond"/>
        </w:rPr>
        <w:t xml:space="preserve"> </w:t>
      </w:r>
      <w:r w:rsidRPr="00DE6111">
        <w:rPr>
          <w:rFonts w:ascii="Garamond" w:hAnsi="Garamond"/>
        </w:rPr>
        <w:t>In recent years, organizations such as Seng Khasi have formalized some of these practices and</w:t>
      </w:r>
      <w:r>
        <w:rPr>
          <w:rFonts w:ascii="Garamond" w:hAnsi="Garamond"/>
        </w:rPr>
        <w:t xml:space="preserve"> </w:t>
      </w:r>
      <w:r w:rsidRPr="00DE6111">
        <w:rPr>
          <w:rFonts w:ascii="Garamond" w:hAnsi="Garamond"/>
        </w:rPr>
        <w:t>beliefs, even acquiring legal authority to perform certain acts like marriages. This development</w:t>
      </w:r>
      <w:r>
        <w:rPr>
          <w:rFonts w:ascii="Garamond" w:hAnsi="Garamond"/>
        </w:rPr>
        <w:t xml:space="preserve"> </w:t>
      </w:r>
      <w:r w:rsidRPr="00DE6111">
        <w:rPr>
          <w:rFonts w:ascii="Garamond" w:hAnsi="Garamond"/>
        </w:rPr>
        <w:t>highlights how domains often categorized as “religious” are deeply entangled with legal, political,</w:t>
      </w:r>
      <w:r>
        <w:rPr>
          <w:rFonts w:ascii="Garamond" w:hAnsi="Garamond"/>
        </w:rPr>
        <w:t xml:space="preserve"> </w:t>
      </w:r>
      <w:r w:rsidRPr="00DE6111">
        <w:rPr>
          <w:rFonts w:ascii="Garamond" w:hAnsi="Garamond"/>
        </w:rPr>
        <w:t>and social structures.</w:t>
      </w:r>
      <w:r>
        <w:rPr>
          <w:rFonts w:ascii="Garamond" w:hAnsi="Garamond"/>
        </w:rPr>
        <w:t xml:space="preserve"> </w:t>
      </w:r>
      <w:r w:rsidRPr="00DE6111">
        <w:rPr>
          <w:rFonts w:ascii="Garamond" w:hAnsi="Garamond"/>
        </w:rPr>
        <w:t>This presentation argues that the distinction between rituals acts being “religious” or “political” in</w:t>
      </w:r>
      <w:r>
        <w:rPr>
          <w:rFonts w:ascii="Garamond" w:hAnsi="Garamond"/>
        </w:rPr>
        <w:t xml:space="preserve"> </w:t>
      </w:r>
      <w:r w:rsidRPr="00DE6111">
        <w:rPr>
          <w:rFonts w:ascii="Garamond" w:hAnsi="Garamond"/>
        </w:rPr>
        <w:t>the Khasi context is not clear-cut. Instead, it demonstrates how such categories are historically</w:t>
      </w:r>
      <w:r>
        <w:rPr>
          <w:rFonts w:ascii="Garamond" w:hAnsi="Garamond"/>
        </w:rPr>
        <w:t xml:space="preserve"> </w:t>
      </w:r>
      <w:r w:rsidRPr="00DE6111">
        <w:rPr>
          <w:rFonts w:ascii="Garamond" w:hAnsi="Garamond"/>
        </w:rPr>
        <w:t>constructed and become increasingly blurred upon closer examination, challenging earlier</w:t>
      </w:r>
      <w:r>
        <w:rPr>
          <w:rFonts w:ascii="Garamond" w:hAnsi="Garamond"/>
        </w:rPr>
        <w:t xml:space="preserve"> </w:t>
      </w:r>
      <w:r w:rsidRPr="00DE6111">
        <w:rPr>
          <w:rFonts w:ascii="Garamond" w:hAnsi="Garamond"/>
        </w:rPr>
        <w:t>assumptions by colonial administrators such as P. R. T. Gurdon.</w:t>
      </w:r>
    </w:p>
    <w:p w14:paraId="092E911D" w14:textId="77777777" w:rsidR="00563234" w:rsidRDefault="00563234" w:rsidP="00DE6111">
      <w:pPr>
        <w:jc w:val="both"/>
        <w:rPr>
          <w:rFonts w:ascii="Garamond" w:hAnsi="Garamond"/>
        </w:rPr>
      </w:pPr>
    </w:p>
    <w:p w14:paraId="2C816781" w14:textId="77777777" w:rsidR="00563234" w:rsidRDefault="00563234" w:rsidP="00563234">
      <w:pPr>
        <w:spacing w:line="276" w:lineRule="auto"/>
        <w:jc w:val="both"/>
        <w:rPr>
          <w:rFonts w:ascii="Garamond" w:hAnsi="Garamond"/>
        </w:rPr>
      </w:pPr>
      <w:r>
        <w:rPr>
          <w:rFonts w:ascii="Garamond" w:hAnsi="Garamond"/>
          <w:b/>
          <w:bCs/>
        </w:rPr>
        <w:t xml:space="preserve">Abhirup Sarkar </w:t>
      </w:r>
      <w:r>
        <w:rPr>
          <w:rFonts w:ascii="Garamond" w:hAnsi="Garamond"/>
        </w:rPr>
        <w:t xml:space="preserve">(University of Tartu, Estonia) – </w:t>
      </w:r>
      <w:r w:rsidRPr="00647D1D">
        <w:rPr>
          <w:rFonts w:ascii="Garamond" w:hAnsi="Garamond"/>
        </w:rPr>
        <w:t>(Not) Objectifying Invisibility: Against the Search of Epistemic Completeness in the Study of</w:t>
      </w:r>
      <w:r>
        <w:rPr>
          <w:rFonts w:ascii="Garamond" w:hAnsi="Garamond"/>
        </w:rPr>
        <w:t xml:space="preserve"> </w:t>
      </w:r>
      <w:r w:rsidRPr="00647D1D">
        <w:rPr>
          <w:rFonts w:ascii="Garamond" w:hAnsi="Garamond"/>
        </w:rPr>
        <w:t>Lived Religions</w:t>
      </w:r>
    </w:p>
    <w:p w14:paraId="47DF27CF" w14:textId="77777777" w:rsidR="00563234" w:rsidRDefault="00563234" w:rsidP="00563234">
      <w:pPr>
        <w:jc w:val="both"/>
        <w:rPr>
          <w:rFonts w:ascii="Garamond" w:hAnsi="Garamond"/>
        </w:rPr>
      </w:pPr>
      <w:r w:rsidRPr="00563234">
        <w:rPr>
          <w:rFonts w:ascii="Garamond" w:hAnsi="Garamond"/>
        </w:rPr>
        <w:t>The attempt to determine an adequate “object” of study in the study of religion possesses two</w:t>
      </w:r>
      <w:r>
        <w:rPr>
          <w:rFonts w:ascii="Garamond" w:hAnsi="Garamond"/>
        </w:rPr>
        <w:t xml:space="preserve"> </w:t>
      </w:r>
      <w:r w:rsidRPr="00563234">
        <w:rPr>
          <w:rFonts w:ascii="Garamond" w:hAnsi="Garamond"/>
        </w:rPr>
        <w:t>inherent fallacies: first, the reification of religion as a bounded discrete concept, and second,</w:t>
      </w:r>
      <w:r>
        <w:rPr>
          <w:rFonts w:ascii="Garamond" w:hAnsi="Garamond"/>
        </w:rPr>
        <w:t xml:space="preserve"> </w:t>
      </w:r>
      <w:r w:rsidRPr="00563234">
        <w:rPr>
          <w:rFonts w:ascii="Garamond" w:hAnsi="Garamond"/>
        </w:rPr>
        <w:t>an ambition to systematically deconstruct it into nothing that is analytically recoverable. This</w:t>
      </w:r>
      <w:r>
        <w:rPr>
          <w:rFonts w:ascii="Garamond" w:hAnsi="Garamond"/>
        </w:rPr>
        <w:t xml:space="preserve"> </w:t>
      </w:r>
      <w:r w:rsidRPr="00563234">
        <w:rPr>
          <w:rFonts w:ascii="Garamond" w:hAnsi="Garamond"/>
        </w:rPr>
        <w:t>presentation looks at both these points of failures to have a common analytic conviction, i.e. a</w:t>
      </w:r>
      <w:r>
        <w:rPr>
          <w:rFonts w:ascii="Garamond" w:hAnsi="Garamond"/>
        </w:rPr>
        <w:t xml:space="preserve"> </w:t>
      </w:r>
      <w:r w:rsidRPr="00563234">
        <w:rPr>
          <w:rFonts w:ascii="Garamond" w:hAnsi="Garamond"/>
        </w:rPr>
        <w:t>rigorous scholarly enquiry must necessarily have a stable object that is available for analysis</w:t>
      </w:r>
      <w:r>
        <w:rPr>
          <w:rFonts w:ascii="Garamond" w:hAnsi="Garamond"/>
        </w:rPr>
        <w:t xml:space="preserve"> </w:t>
      </w:r>
      <w:r w:rsidRPr="00563234">
        <w:rPr>
          <w:rFonts w:ascii="Garamond" w:hAnsi="Garamond"/>
        </w:rPr>
        <w:t>that would result into an epistemic completeness. From perspective of ethnography, I argue</w:t>
      </w:r>
      <w:r>
        <w:rPr>
          <w:rFonts w:ascii="Garamond" w:hAnsi="Garamond"/>
        </w:rPr>
        <w:t xml:space="preserve"> </w:t>
      </w:r>
      <w:r w:rsidRPr="00563234">
        <w:rPr>
          <w:rFonts w:ascii="Garamond" w:hAnsi="Garamond"/>
        </w:rPr>
        <w:t>that the substantive lack of an object, or the constitutive opacity in certain religious forms, is</w:t>
      </w:r>
      <w:r>
        <w:rPr>
          <w:rFonts w:ascii="Garamond" w:hAnsi="Garamond"/>
        </w:rPr>
        <w:t xml:space="preserve"> </w:t>
      </w:r>
      <w:r w:rsidRPr="00563234">
        <w:rPr>
          <w:rFonts w:ascii="Garamond" w:hAnsi="Garamond"/>
        </w:rPr>
        <w:t xml:space="preserve">not a hindrance for the scholarly </w:t>
      </w:r>
      <w:proofErr w:type="spellStart"/>
      <w:r w:rsidRPr="00563234">
        <w:rPr>
          <w:rFonts w:ascii="Garamond" w:hAnsi="Garamond"/>
        </w:rPr>
        <w:t>endeavor</w:t>
      </w:r>
      <w:proofErr w:type="spellEnd"/>
      <w:r w:rsidRPr="00563234">
        <w:rPr>
          <w:rFonts w:ascii="Garamond" w:hAnsi="Garamond"/>
        </w:rPr>
        <w:t xml:space="preserve"> because “religion,” “religious practice,” “religious</w:t>
      </w:r>
      <w:r>
        <w:rPr>
          <w:rFonts w:ascii="Garamond" w:hAnsi="Garamond"/>
        </w:rPr>
        <w:t xml:space="preserve"> </w:t>
      </w:r>
      <w:r w:rsidRPr="00563234">
        <w:rPr>
          <w:rFonts w:ascii="Garamond" w:hAnsi="Garamond"/>
        </w:rPr>
        <w:t>tradition,” amongst others, manifest in contradictory, nebulous, and even “irreligious” forms.</w:t>
      </w:r>
      <w:r>
        <w:rPr>
          <w:rFonts w:ascii="Garamond" w:hAnsi="Garamond"/>
        </w:rPr>
        <w:t xml:space="preserve"> </w:t>
      </w:r>
      <w:r w:rsidRPr="00563234">
        <w:rPr>
          <w:rFonts w:ascii="Garamond" w:hAnsi="Garamond"/>
        </w:rPr>
        <w:t>“Religion,” from the viewpoints I bring in, is embedded into everything that constitutes ways of</w:t>
      </w:r>
      <w:r>
        <w:rPr>
          <w:rFonts w:ascii="Garamond" w:hAnsi="Garamond"/>
        </w:rPr>
        <w:t xml:space="preserve"> </w:t>
      </w:r>
      <w:r w:rsidRPr="00563234">
        <w:rPr>
          <w:rFonts w:ascii="Garamond" w:hAnsi="Garamond"/>
        </w:rPr>
        <w:t>living, community thinking, and cosmological continuities that extend beyond what is tangible.</w:t>
      </w:r>
      <w:r>
        <w:rPr>
          <w:rFonts w:ascii="Garamond" w:hAnsi="Garamond"/>
        </w:rPr>
        <w:t xml:space="preserve"> </w:t>
      </w:r>
      <w:r w:rsidRPr="00563234">
        <w:rPr>
          <w:rFonts w:ascii="Garamond" w:hAnsi="Garamond"/>
        </w:rPr>
        <w:t xml:space="preserve">My case study involves the </w:t>
      </w:r>
      <w:proofErr w:type="spellStart"/>
      <w:r w:rsidRPr="00563234">
        <w:rPr>
          <w:rFonts w:ascii="Garamond" w:hAnsi="Garamond"/>
        </w:rPr>
        <w:t>Rongbin</w:t>
      </w:r>
      <w:proofErr w:type="spellEnd"/>
      <w:r w:rsidRPr="00563234">
        <w:rPr>
          <w:rFonts w:ascii="Garamond" w:hAnsi="Garamond"/>
        </w:rPr>
        <w:t xml:space="preserve"> complex that is comprised of the sacred, inhabited,</w:t>
      </w:r>
      <w:r>
        <w:rPr>
          <w:rFonts w:ascii="Garamond" w:hAnsi="Garamond"/>
        </w:rPr>
        <w:t xml:space="preserve"> </w:t>
      </w:r>
      <w:r w:rsidRPr="00563234">
        <w:rPr>
          <w:rFonts w:ascii="Garamond" w:hAnsi="Garamond"/>
        </w:rPr>
        <w:t xml:space="preserve">substantively efficacious, and invisible landscapes among the </w:t>
      </w:r>
      <w:proofErr w:type="spellStart"/>
      <w:r w:rsidRPr="00563234">
        <w:rPr>
          <w:rFonts w:ascii="Garamond" w:hAnsi="Garamond"/>
        </w:rPr>
        <w:t>Karbis</w:t>
      </w:r>
      <w:proofErr w:type="spellEnd"/>
      <w:r w:rsidRPr="00563234">
        <w:rPr>
          <w:rFonts w:ascii="Garamond" w:hAnsi="Garamond"/>
        </w:rPr>
        <w:t xml:space="preserve"> of Northeast India that</w:t>
      </w:r>
      <w:r>
        <w:rPr>
          <w:rFonts w:ascii="Garamond" w:hAnsi="Garamond"/>
        </w:rPr>
        <w:t xml:space="preserve"> </w:t>
      </w:r>
      <w:r w:rsidRPr="00563234">
        <w:rPr>
          <w:rFonts w:ascii="Garamond" w:hAnsi="Garamond"/>
        </w:rPr>
        <w:t>exists beyond the nominal sensorial perception and communicated within and outside of the</w:t>
      </w:r>
      <w:r>
        <w:rPr>
          <w:rFonts w:ascii="Garamond" w:hAnsi="Garamond"/>
        </w:rPr>
        <w:t xml:space="preserve"> </w:t>
      </w:r>
      <w:r w:rsidRPr="00563234">
        <w:rPr>
          <w:rFonts w:ascii="Garamond" w:hAnsi="Garamond"/>
        </w:rPr>
        <w:t xml:space="preserve">community through different expressive genres. The invisibility of </w:t>
      </w:r>
      <w:proofErr w:type="spellStart"/>
      <w:r w:rsidRPr="00563234">
        <w:rPr>
          <w:rFonts w:ascii="Garamond" w:hAnsi="Garamond"/>
        </w:rPr>
        <w:t>Rongbin</w:t>
      </w:r>
      <w:proofErr w:type="spellEnd"/>
      <w:r w:rsidRPr="00563234">
        <w:rPr>
          <w:rFonts w:ascii="Garamond" w:hAnsi="Garamond"/>
        </w:rPr>
        <w:t xml:space="preserve"> is its constitutive</w:t>
      </w:r>
      <w:r>
        <w:rPr>
          <w:rFonts w:ascii="Garamond" w:hAnsi="Garamond"/>
        </w:rPr>
        <w:t xml:space="preserve"> </w:t>
      </w:r>
      <w:r w:rsidRPr="00563234">
        <w:rPr>
          <w:rFonts w:ascii="Garamond" w:hAnsi="Garamond"/>
        </w:rPr>
        <w:t>feature that decides how the knowledge is organized, accessed, and transmitted and by who.</w:t>
      </w:r>
      <w:r>
        <w:rPr>
          <w:rFonts w:ascii="Garamond" w:hAnsi="Garamond"/>
        </w:rPr>
        <w:t xml:space="preserve"> </w:t>
      </w:r>
    </w:p>
    <w:p w14:paraId="407AB90B" w14:textId="6DFA7316" w:rsidR="00563234" w:rsidRDefault="00563234" w:rsidP="00563234">
      <w:pPr>
        <w:jc w:val="both"/>
        <w:rPr>
          <w:rFonts w:ascii="Garamond" w:hAnsi="Garamond"/>
        </w:rPr>
      </w:pPr>
      <w:r w:rsidRPr="00563234">
        <w:rPr>
          <w:rFonts w:ascii="Garamond" w:hAnsi="Garamond"/>
        </w:rPr>
        <w:t>Rappaport’s non-inventive performative ritual definition, or Bell’s practice-theory critique of</w:t>
      </w:r>
      <w:r>
        <w:rPr>
          <w:rFonts w:ascii="Garamond" w:hAnsi="Garamond"/>
        </w:rPr>
        <w:t xml:space="preserve"> </w:t>
      </w:r>
      <w:r w:rsidRPr="00563234">
        <w:rPr>
          <w:rFonts w:ascii="Garamond" w:hAnsi="Garamond"/>
        </w:rPr>
        <w:t>rituals argues for a scholarly positioning disconnected from such phenomena of study. In</w:t>
      </w:r>
      <w:r>
        <w:rPr>
          <w:rFonts w:ascii="Garamond" w:hAnsi="Garamond"/>
        </w:rPr>
        <w:t xml:space="preserve"> </w:t>
      </w:r>
      <w:r w:rsidRPr="00563234">
        <w:rPr>
          <w:rFonts w:ascii="Garamond" w:hAnsi="Garamond"/>
        </w:rPr>
        <w:t>philosophy of religion frameworks, from Van Leeuwen’s replacement of ‘belief’ with ‘credence’</w:t>
      </w:r>
      <w:r>
        <w:rPr>
          <w:rFonts w:ascii="Garamond" w:hAnsi="Garamond"/>
        </w:rPr>
        <w:t xml:space="preserve"> </w:t>
      </w:r>
      <w:r w:rsidRPr="00563234">
        <w:rPr>
          <w:rFonts w:ascii="Garamond" w:hAnsi="Garamond"/>
        </w:rPr>
        <w:t xml:space="preserve">to </w:t>
      </w:r>
      <w:proofErr w:type="spellStart"/>
      <w:r w:rsidRPr="00563234">
        <w:rPr>
          <w:rFonts w:ascii="Garamond" w:hAnsi="Garamond"/>
        </w:rPr>
        <w:t>Schilbrack’s</w:t>
      </w:r>
      <w:proofErr w:type="spellEnd"/>
      <w:r w:rsidRPr="00563234">
        <w:rPr>
          <w:rFonts w:ascii="Garamond" w:hAnsi="Garamond"/>
        </w:rPr>
        <w:t xml:space="preserve"> affordance, skill, and niche triad argue for an absolutist epistemological</w:t>
      </w:r>
      <w:r>
        <w:rPr>
          <w:rFonts w:ascii="Garamond" w:hAnsi="Garamond"/>
        </w:rPr>
        <w:t xml:space="preserve"> </w:t>
      </w:r>
      <w:r w:rsidRPr="00563234">
        <w:rPr>
          <w:rFonts w:ascii="Garamond" w:hAnsi="Garamond"/>
        </w:rPr>
        <w:t>(re)structuring of such practices. Further, the cognitive science of religion compounds on these</w:t>
      </w:r>
      <w:r>
        <w:rPr>
          <w:rFonts w:ascii="Garamond" w:hAnsi="Garamond"/>
        </w:rPr>
        <w:t xml:space="preserve"> </w:t>
      </w:r>
      <w:r w:rsidRPr="00563234">
        <w:rPr>
          <w:rFonts w:ascii="Garamond" w:hAnsi="Garamond"/>
        </w:rPr>
        <w:t>by locating the ‘object’ in the general domain of mental architecture that tends to be</w:t>
      </w:r>
      <w:r>
        <w:rPr>
          <w:rFonts w:ascii="Garamond" w:hAnsi="Garamond"/>
        </w:rPr>
        <w:t xml:space="preserve"> </w:t>
      </w:r>
      <w:r w:rsidRPr="00563234">
        <w:rPr>
          <w:rFonts w:ascii="Garamond" w:hAnsi="Garamond"/>
        </w:rPr>
        <w:t>decontextualized from the locally specialized configurations of religious forms. All these</w:t>
      </w:r>
      <w:r>
        <w:rPr>
          <w:rFonts w:ascii="Garamond" w:hAnsi="Garamond"/>
        </w:rPr>
        <w:t xml:space="preserve"> </w:t>
      </w:r>
      <w:r w:rsidRPr="00563234">
        <w:rPr>
          <w:rFonts w:ascii="Garamond" w:hAnsi="Garamond"/>
        </w:rPr>
        <w:t>approaches achieve their analytical outcome at the cost of exactly what is critically significant</w:t>
      </w:r>
      <w:r>
        <w:rPr>
          <w:rFonts w:ascii="Garamond" w:hAnsi="Garamond"/>
        </w:rPr>
        <w:t xml:space="preserve"> </w:t>
      </w:r>
      <w:r w:rsidRPr="00563234">
        <w:rPr>
          <w:rFonts w:ascii="Garamond" w:hAnsi="Garamond"/>
        </w:rPr>
        <w:t xml:space="preserve">in most cases such as </w:t>
      </w:r>
      <w:proofErr w:type="spellStart"/>
      <w:r w:rsidRPr="00563234">
        <w:rPr>
          <w:rFonts w:ascii="Garamond" w:hAnsi="Garamond"/>
        </w:rPr>
        <w:t>Rongbin</w:t>
      </w:r>
      <w:proofErr w:type="spellEnd"/>
      <w:r w:rsidRPr="00563234">
        <w:rPr>
          <w:rFonts w:ascii="Garamond" w:hAnsi="Garamond"/>
        </w:rPr>
        <w:t xml:space="preserve"> – that the phenomena actively resist external categorization and</w:t>
      </w:r>
      <w:r>
        <w:rPr>
          <w:rFonts w:ascii="Garamond" w:hAnsi="Garamond"/>
        </w:rPr>
        <w:t xml:space="preserve"> </w:t>
      </w:r>
      <w:r w:rsidRPr="00563234">
        <w:rPr>
          <w:rFonts w:ascii="Garamond" w:hAnsi="Garamond"/>
        </w:rPr>
        <w:t>produces a significant epistemic gap between the participants and the observers that are not</w:t>
      </w:r>
      <w:r>
        <w:rPr>
          <w:rFonts w:ascii="Garamond" w:hAnsi="Garamond"/>
        </w:rPr>
        <w:t xml:space="preserve"> </w:t>
      </w:r>
      <w:r w:rsidRPr="00563234">
        <w:rPr>
          <w:rFonts w:ascii="Garamond" w:hAnsi="Garamond"/>
        </w:rPr>
        <w:t>incidental but intentional.</w:t>
      </w:r>
      <w:r>
        <w:rPr>
          <w:rFonts w:ascii="Garamond" w:hAnsi="Garamond"/>
        </w:rPr>
        <w:t xml:space="preserve"> </w:t>
      </w:r>
      <w:r w:rsidRPr="00563234">
        <w:rPr>
          <w:rFonts w:ascii="Garamond" w:hAnsi="Garamond"/>
        </w:rPr>
        <w:t>Against these three analytical approaches that may get trapped in search of an ‘object’ of study,</w:t>
      </w:r>
      <w:r>
        <w:rPr>
          <w:rFonts w:ascii="Garamond" w:hAnsi="Garamond"/>
        </w:rPr>
        <w:t xml:space="preserve"> </w:t>
      </w:r>
      <w:r w:rsidRPr="00563234">
        <w:rPr>
          <w:rFonts w:ascii="Garamond" w:hAnsi="Garamond"/>
        </w:rPr>
        <w:t>I argue for an engaged, fieldwork-based approach wherein the study of religion does not lose</w:t>
      </w:r>
      <w:r>
        <w:rPr>
          <w:rFonts w:ascii="Garamond" w:hAnsi="Garamond"/>
        </w:rPr>
        <w:t xml:space="preserve"> </w:t>
      </w:r>
      <w:r w:rsidRPr="00563234">
        <w:rPr>
          <w:rFonts w:ascii="Garamond" w:hAnsi="Garamond"/>
        </w:rPr>
        <w:t xml:space="preserve">its purpose in </w:t>
      </w:r>
      <w:r w:rsidRPr="00563234">
        <w:rPr>
          <w:rFonts w:ascii="Garamond" w:hAnsi="Garamond"/>
        </w:rPr>
        <w:lastRenderedPageBreak/>
        <w:t>search of an elusive ‘object’, but the ‘object’ of inquiry is produced through a</w:t>
      </w:r>
      <w:r>
        <w:rPr>
          <w:rFonts w:ascii="Garamond" w:hAnsi="Garamond"/>
        </w:rPr>
        <w:t xml:space="preserve"> </w:t>
      </w:r>
      <w:r w:rsidRPr="00563234">
        <w:rPr>
          <w:rFonts w:ascii="Garamond" w:hAnsi="Garamond"/>
        </w:rPr>
        <w:t>sustained interaction with interlocutors, inclusive of its partial and provisional nature, and</w:t>
      </w:r>
      <w:r>
        <w:rPr>
          <w:rFonts w:ascii="Garamond" w:hAnsi="Garamond"/>
        </w:rPr>
        <w:t xml:space="preserve"> </w:t>
      </w:r>
      <w:r w:rsidRPr="00563234">
        <w:rPr>
          <w:rFonts w:ascii="Garamond" w:hAnsi="Garamond"/>
        </w:rPr>
        <w:t>refutes stabilization through scholarly categories. This is not a move towards constructivism but</w:t>
      </w:r>
      <w:r>
        <w:rPr>
          <w:rFonts w:ascii="Garamond" w:hAnsi="Garamond"/>
        </w:rPr>
        <w:t xml:space="preserve"> </w:t>
      </w:r>
      <w:r w:rsidRPr="00563234">
        <w:rPr>
          <w:rFonts w:ascii="Garamond" w:hAnsi="Garamond"/>
        </w:rPr>
        <w:t>a methodological claim that a ‘lack’ is not necessarily non-informative and the researcher’s</w:t>
      </w:r>
      <w:r>
        <w:rPr>
          <w:rFonts w:ascii="Garamond" w:hAnsi="Garamond"/>
        </w:rPr>
        <w:t xml:space="preserve"> </w:t>
      </w:r>
      <w:r w:rsidRPr="00563234">
        <w:rPr>
          <w:rFonts w:ascii="Garamond" w:hAnsi="Garamond"/>
        </w:rPr>
        <w:t>inability to have a clear ‘object’ to study is an analytical precondition not a failure. What the</w:t>
      </w:r>
      <w:r>
        <w:rPr>
          <w:rFonts w:ascii="Garamond" w:hAnsi="Garamond"/>
        </w:rPr>
        <w:t xml:space="preserve"> </w:t>
      </w:r>
      <w:r w:rsidRPr="00563234">
        <w:rPr>
          <w:rFonts w:ascii="Garamond" w:hAnsi="Garamond"/>
        </w:rPr>
        <w:t>study of religion needs is therefore not a cleaner ‘object’ of study, but a theory of engagement</w:t>
      </w:r>
      <w:r>
        <w:rPr>
          <w:rFonts w:ascii="Garamond" w:hAnsi="Garamond"/>
        </w:rPr>
        <w:t xml:space="preserve"> </w:t>
      </w:r>
      <w:r w:rsidRPr="00563234">
        <w:rPr>
          <w:rFonts w:ascii="Garamond" w:hAnsi="Garamond"/>
        </w:rPr>
        <w:t>adequate to ‘objects’ that discard being ‘objectified.’</w:t>
      </w:r>
    </w:p>
    <w:p w14:paraId="69297307" w14:textId="77777777" w:rsidR="00563234" w:rsidRDefault="00563234" w:rsidP="00563234">
      <w:pPr>
        <w:jc w:val="both"/>
        <w:rPr>
          <w:rFonts w:ascii="Garamond" w:hAnsi="Garamond"/>
        </w:rPr>
      </w:pPr>
    </w:p>
    <w:p w14:paraId="6E73996D" w14:textId="77777777" w:rsidR="00563234" w:rsidRDefault="00563234" w:rsidP="00563234">
      <w:pPr>
        <w:spacing w:line="276" w:lineRule="auto"/>
        <w:jc w:val="both"/>
        <w:rPr>
          <w:rFonts w:ascii="Garamond" w:hAnsi="Garamond"/>
        </w:rPr>
      </w:pPr>
      <w:r w:rsidRPr="00246C73">
        <w:rPr>
          <w:rFonts w:ascii="Garamond" w:hAnsi="Garamond"/>
          <w:b/>
          <w:bCs/>
        </w:rPr>
        <w:t xml:space="preserve">Amy Lynn Koehlinger </w:t>
      </w:r>
      <w:r w:rsidRPr="00246C73">
        <w:rPr>
          <w:rFonts w:ascii="Garamond" w:hAnsi="Garamond"/>
        </w:rPr>
        <w:t xml:space="preserve">(Oregon State </w:t>
      </w:r>
      <w:r>
        <w:rPr>
          <w:rFonts w:ascii="Garamond" w:hAnsi="Garamond"/>
        </w:rPr>
        <w:t xml:space="preserve">University, USA) – </w:t>
      </w:r>
      <w:r w:rsidRPr="00246C73">
        <w:rPr>
          <w:rFonts w:ascii="Garamond" w:hAnsi="Garamond"/>
        </w:rPr>
        <w:t>Mystical Experience, Transpersonal Encounter, and Experiences Deemed Religious: Comparing Models of Religion in the Psychedelic Renaissance</w:t>
      </w:r>
    </w:p>
    <w:p w14:paraId="7D307B8C" w14:textId="3A4D9661" w:rsidR="00563234" w:rsidRDefault="00563234" w:rsidP="00563234">
      <w:pPr>
        <w:jc w:val="both"/>
        <w:rPr>
          <w:rFonts w:ascii="Garamond" w:hAnsi="Garamond"/>
        </w:rPr>
      </w:pPr>
      <w:r w:rsidRPr="00563234">
        <w:rPr>
          <w:rFonts w:ascii="Garamond" w:hAnsi="Garamond"/>
        </w:rPr>
        <w:t xml:space="preserve">The contemporary “Psychedelic Renaissance” of research and public policy integrating consciousness-altering substances like psilocybin, MDMA, and ketamine into western medical and therapeutic healing modalities offers an illuminating case study for the question of how the study of religion might navigate a productive path between reification and deconstruction of religion as a meaningful analytical category and object of study. Medical and psychiatric researchers focused on producing empirical evidence of therapeutic benefit from psychedelics rely on psychometric surveys like the Mystical Experience Questionnaire (MEQ) that reify “mystical experience” as a measurable phenomenon of transcendence, ineffability, passivity, and positive mood. Studies often use high MEQ scores as evidence of a healing mechanism from psychedelic administration. Mysticism in this frame is not just an object; it is a goal and a condition for positive results in many clinical trials. Humanistic psychologists similarly use religious concepts to reify the phenomenology of altered consciousness from psychedelic administration, arguing that physical and psychological healing from psychedelics is correlated with “transpersonal experience” of various transcendent entities which can include ancestors, “the mushrooms,” God, aliens, and unitive divine love. This branch of psychology deploys Abraham Maslow’s hierarchy of needs to argue that beyond the pinnacle of “self-actualization” that Maslow identified as the goal of human development lies an additional level, of “self-transcendence” where humans experience consciousness as connected, either to individual spiritual entities or to the cosmos as a whole.  Psychedelics, in this frame, provide an efficient mechanism for reaching the developmental pinnacle of the psyche, the transpersonal realm.  Similar to scientific research in pharmacology, humanistic psychology also presents a reified religious category as object and as a </w:t>
      </w:r>
      <w:proofErr w:type="gramStart"/>
      <w:r w:rsidRPr="00563234">
        <w:rPr>
          <w:rFonts w:ascii="Garamond" w:hAnsi="Garamond"/>
        </w:rPr>
        <w:t>teleological ends</w:t>
      </w:r>
      <w:proofErr w:type="gramEnd"/>
      <w:r w:rsidRPr="00563234">
        <w:rPr>
          <w:rFonts w:ascii="Garamond" w:hAnsi="Garamond"/>
        </w:rPr>
        <w:t xml:space="preserve"> for psychedelic use.  Both of these discursive threads in the current “psychedelic renaissance” draw on early theories of religion from William James, Mircea Eliade, and Huston Smith.  My paper uses the case study of how religious/spiritual/mystical experience are defined in psychedelic practice to illuminate by contrast the ways that the academic study of religion has significantly evolved away from </w:t>
      </w:r>
      <w:proofErr w:type="spellStart"/>
      <w:r w:rsidRPr="00563234">
        <w:rPr>
          <w:rFonts w:ascii="Garamond" w:hAnsi="Garamond"/>
        </w:rPr>
        <w:t>perennialist</w:t>
      </w:r>
      <w:proofErr w:type="spellEnd"/>
      <w:r w:rsidRPr="00563234">
        <w:rPr>
          <w:rFonts w:ascii="Garamond" w:hAnsi="Garamond"/>
        </w:rPr>
        <w:t xml:space="preserve"> models and claims of universality. Using theory and method from the contemporary academic study of religion, specifically the work of Talal Asad, Bruno Latour, and Russell McCutcheon, I posit an alternate approach from the antiquated models of reified </w:t>
      </w:r>
      <w:proofErr w:type="spellStart"/>
      <w:r w:rsidRPr="00563234">
        <w:rPr>
          <w:rFonts w:ascii="Garamond" w:hAnsi="Garamond"/>
        </w:rPr>
        <w:t>relgion</w:t>
      </w:r>
      <w:proofErr w:type="spellEnd"/>
      <w:r w:rsidRPr="00563234">
        <w:rPr>
          <w:rFonts w:ascii="Garamond" w:hAnsi="Garamond"/>
        </w:rPr>
        <w:t xml:space="preserve"> used in pharmacological research and humanistic psychology, calling for scholars of religion to attend to psychedelic experiences that people deem religious using methodologies in religious studies that foreground the narrative and interpretive authority of those taking psychedelics to characterize and explain their experiences of altered consciousness.</w:t>
      </w:r>
    </w:p>
    <w:p w14:paraId="4D5AD141" w14:textId="77777777" w:rsidR="00563234" w:rsidRDefault="00563234" w:rsidP="00563234">
      <w:pPr>
        <w:jc w:val="both"/>
        <w:rPr>
          <w:rFonts w:ascii="Garamond" w:hAnsi="Garamond"/>
        </w:rPr>
      </w:pPr>
    </w:p>
    <w:p w14:paraId="5F7A25A0" w14:textId="77777777" w:rsidR="00563234" w:rsidRDefault="00563234" w:rsidP="00563234">
      <w:pPr>
        <w:spacing w:line="276" w:lineRule="auto"/>
        <w:jc w:val="both"/>
        <w:rPr>
          <w:rFonts w:ascii="Garamond" w:hAnsi="Garamond"/>
        </w:rPr>
      </w:pPr>
      <w:r w:rsidRPr="00246C73">
        <w:rPr>
          <w:rFonts w:ascii="Garamond" w:hAnsi="Garamond"/>
          <w:b/>
          <w:bCs/>
        </w:rPr>
        <w:t xml:space="preserve">Reyhaneh </w:t>
      </w:r>
      <w:proofErr w:type="spellStart"/>
      <w:r w:rsidRPr="00246C73">
        <w:rPr>
          <w:rFonts w:ascii="Garamond" w:hAnsi="Garamond"/>
          <w:b/>
          <w:bCs/>
        </w:rPr>
        <w:t>Ghoroghchian</w:t>
      </w:r>
      <w:proofErr w:type="spellEnd"/>
      <w:r>
        <w:rPr>
          <w:rFonts w:ascii="Garamond" w:hAnsi="Garamond"/>
        </w:rPr>
        <w:t xml:space="preserve"> (University of Tartu, Estonia) – </w:t>
      </w:r>
      <w:r w:rsidRPr="00246C73">
        <w:rPr>
          <w:rFonts w:ascii="Garamond" w:hAnsi="Garamond"/>
        </w:rPr>
        <w:t>Unseen Beings, Real Feelings: Jinn and the Object of Religious Studies in Iran</w:t>
      </w:r>
    </w:p>
    <w:p w14:paraId="5DF24A51" w14:textId="77777777" w:rsidR="00563234" w:rsidRPr="00563234" w:rsidRDefault="00563234" w:rsidP="00563234">
      <w:pPr>
        <w:jc w:val="both"/>
        <w:rPr>
          <w:rFonts w:ascii="Garamond" w:hAnsi="Garamond"/>
          <w:lang w:val="en"/>
        </w:rPr>
      </w:pPr>
      <w:r w:rsidRPr="00563234">
        <w:rPr>
          <w:rFonts w:ascii="Garamond" w:hAnsi="Garamond"/>
          <w:lang w:val="en"/>
        </w:rPr>
        <w:t>How can scholars study beings that cannot be empirically observed without turning religious studies into theology or maybe even reducing religious experience to psychology? This question is particularly relevant to the study of jinn, whose presence in Iranian religious life extends well beyond formal Islamic doctrine. Jinn appear in narratives of illness, healing, dreams, uncanny encounters, protective practices, and everyday explanations of uncertainty, making them a persistent element of vernacular religious life while simultaneously resisting empirical verification.</w:t>
      </w:r>
    </w:p>
    <w:p w14:paraId="3319DAFF" w14:textId="77777777" w:rsidR="00563234" w:rsidRPr="00563234" w:rsidRDefault="00563234" w:rsidP="00563234">
      <w:pPr>
        <w:jc w:val="both"/>
        <w:rPr>
          <w:rFonts w:ascii="Garamond" w:hAnsi="Garamond"/>
          <w:lang w:val="en"/>
        </w:rPr>
      </w:pPr>
      <w:r w:rsidRPr="00563234">
        <w:rPr>
          <w:rFonts w:ascii="Garamond" w:hAnsi="Garamond"/>
          <w:lang w:val="en"/>
        </w:rPr>
        <w:t xml:space="preserve">Based on the critique of religion as an object of study by Jeppe Sinding Jensen and incorporating the literature on lived and vernacular religion, this paper contends that the methodological problem is not </w:t>
      </w:r>
      <w:proofErr w:type="gramStart"/>
      <w:r w:rsidRPr="00563234">
        <w:rPr>
          <w:rFonts w:ascii="Garamond" w:hAnsi="Garamond"/>
          <w:lang w:val="en"/>
        </w:rPr>
        <w:t>whether or not</w:t>
      </w:r>
      <w:proofErr w:type="gramEnd"/>
      <w:r w:rsidRPr="00563234">
        <w:rPr>
          <w:rFonts w:ascii="Garamond" w:hAnsi="Garamond"/>
          <w:lang w:val="en"/>
        </w:rPr>
        <w:t xml:space="preserve"> jinn </w:t>
      </w:r>
      <w:proofErr w:type="gramStart"/>
      <w:r w:rsidRPr="00563234">
        <w:rPr>
          <w:rFonts w:ascii="Garamond" w:hAnsi="Garamond"/>
          <w:lang w:val="en"/>
        </w:rPr>
        <w:t>exist</w:t>
      </w:r>
      <w:proofErr w:type="gramEnd"/>
      <w:r w:rsidRPr="00563234">
        <w:rPr>
          <w:rFonts w:ascii="Garamond" w:hAnsi="Garamond"/>
          <w:lang w:val="en"/>
        </w:rPr>
        <w:t xml:space="preserve"> but what the proper object of study is. The point being made here is that rather than seeing the jinn as supernatural beings that need to be explained, what needs to be examined are the connections that bring about meaning to the jinn within people's lives. This can be done by observing the narratives, rituals, material culture, healing, and interpretation that </w:t>
      </w:r>
      <w:proofErr w:type="gramStart"/>
      <w:r w:rsidRPr="00563234">
        <w:rPr>
          <w:rFonts w:ascii="Garamond" w:hAnsi="Garamond"/>
          <w:lang w:val="en"/>
        </w:rPr>
        <w:t>surrounds</w:t>
      </w:r>
      <w:proofErr w:type="gramEnd"/>
      <w:r w:rsidRPr="00563234">
        <w:rPr>
          <w:rFonts w:ascii="Garamond" w:hAnsi="Garamond"/>
          <w:lang w:val="en"/>
        </w:rPr>
        <w:t xml:space="preserve"> them.</w:t>
      </w:r>
    </w:p>
    <w:p w14:paraId="01F32CC0" w14:textId="77777777" w:rsidR="00563234" w:rsidRPr="00563234" w:rsidRDefault="00563234" w:rsidP="00563234">
      <w:pPr>
        <w:jc w:val="both"/>
        <w:rPr>
          <w:rFonts w:ascii="Garamond" w:hAnsi="Garamond"/>
          <w:lang w:val="en"/>
        </w:rPr>
      </w:pPr>
      <w:r w:rsidRPr="00563234">
        <w:rPr>
          <w:rFonts w:ascii="Garamond" w:hAnsi="Garamond"/>
          <w:lang w:val="en"/>
        </w:rPr>
        <w:t>The present contribution concentrates on the contemporary Iranian vernacular religion and shows that being methodologically agnostic does not mean neglecting religious experience but, on the contrary, helps focus scholarly attention on the processes that make the unseen visible by giving it a place in daily life. The study of Iranian conception of the jinn as related to the question about the subject matter of the academic study of religion allows us to consider the methodology of researching invisible entities in a non-realist manner.</w:t>
      </w:r>
    </w:p>
    <w:p w14:paraId="04A00495" w14:textId="77777777" w:rsidR="00563234" w:rsidRDefault="00563234" w:rsidP="00563234">
      <w:pPr>
        <w:jc w:val="both"/>
        <w:rPr>
          <w:rFonts w:ascii="Garamond" w:hAnsi="Garamond"/>
          <w:lang w:val="en"/>
        </w:rPr>
      </w:pPr>
    </w:p>
    <w:p w14:paraId="7AA7D30E" w14:textId="77777777" w:rsidR="00563234" w:rsidRPr="00246C73" w:rsidRDefault="00563234" w:rsidP="00563234">
      <w:pPr>
        <w:spacing w:line="276" w:lineRule="auto"/>
        <w:jc w:val="both"/>
        <w:rPr>
          <w:rFonts w:ascii="Garamond" w:hAnsi="Garamond"/>
        </w:rPr>
      </w:pPr>
      <w:r w:rsidRPr="00246C73">
        <w:rPr>
          <w:rFonts w:ascii="Garamond" w:hAnsi="Garamond"/>
          <w:b/>
          <w:bCs/>
        </w:rPr>
        <w:t>Noam Cohen</w:t>
      </w:r>
      <w:r w:rsidRPr="00246C73">
        <w:rPr>
          <w:rFonts w:ascii="Garamond" w:hAnsi="Garamond"/>
        </w:rPr>
        <w:t xml:space="preserve"> (Leipzig University, Germany</w:t>
      </w:r>
      <w:r>
        <w:rPr>
          <w:rFonts w:ascii="Garamond" w:hAnsi="Garamond"/>
        </w:rPr>
        <w:t xml:space="preserve">) – </w:t>
      </w:r>
      <w:r w:rsidRPr="00246C73">
        <w:rPr>
          <w:rFonts w:ascii="Garamond" w:hAnsi="Garamond"/>
        </w:rPr>
        <w:t xml:space="preserve">The </w:t>
      </w:r>
      <w:proofErr w:type="spellStart"/>
      <w:r w:rsidRPr="00246C73">
        <w:rPr>
          <w:rFonts w:ascii="Garamond" w:hAnsi="Garamond"/>
        </w:rPr>
        <w:t>Sigd</w:t>
      </w:r>
      <w:proofErr w:type="spellEnd"/>
      <w:r w:rsidRPr="00246C73">
        <w:rPr>
          <w:rFonts w:ascii="Garamond" w:hAnsi="Garamond"/>
        </w:rPr>
        <w:t xml:space="preserve"> Holiday: Religious Negotiation and Adaptation among Ethiopian Jews in</w:t>
      </w:r>
      <w:r>
        <w:rPr>
          <w:rFonts w:ascii="Garamond" w:hAnsi="Garamond"/>
        </w:rPr>
        <w:t xml:space="preserve"> </w:t>
      </w:r>
      <w:r w:rsidRPr="00246C73">
        <w:rPr>
          <w:rFonts w:ascii="Garamond" w:hAnsi="Garamond"/>
        </w:rPr>
        <w:t>Israel</w:t>
      </w:r>
    </w:p>
    <w:p w14:paraId="5C22EBA2" w14:textId="309A03C4" w:rsidR="00563234" w:rsidRPr="00563234" w:rsidRDefault="00563234" w:rsidP="00563234">
      <w:pPr>
        <w:jc w:val="both"/>
        <w:rPr>
          <w:rFonts w:ascii="Garamond" w:hAnsi="Garamond"/>
        </w:rPr>
      </w:pPr>
      <w:r>
        <w:rPr>
          <w:rFonts w:ascii="Garamond" w:hAnsi="Garamond"/>
        </w:rPr>
        <w:t>T</w:t>
      </w:r>
      <w:r w:rsidRPr="00563234">
        <w:rPr>
          <w:rFonts w:ascii="Garamond" w:hAnsi="Garamond"/>
        </w:rPr>
        <w:t xml:space="preserve">his study seeks to examine the </w:t>
      </w:r>
      <w:proofErr w:type="spellStart"/>
      <w:r w:rsidRPr="00563234">
        <w:rPr>
          <w:rFonts w:ascii="Garamond" w:hAnsi="Garamond"/>
        </w:rPr>
        <w:t>Sigd</w:t>
      </w:r>
      <w:proofErr w:type="spellEnd"/>
      <w:r w:rsidRPr="00563234">
        <w:rPr>
          <w:rFonts w:ascii="Garamond" w:hAnsi="Garamond"/>
        </w:rPr>
        <w:t xml:space="preserve"> holiday, the most prominent religious day of</w:t>
      </w:r>
      <w:r>
        <w:rPr>
          <w:rFonts w:ascii="Garamond" w:hAnsi="Garamond"/>
        </w:rPr>
        <w:t xml:space="preserve"> </w:t>
      </w:r>
      <w:r w:rsidRPr="00563234">
        <w:rPr>
          <w:rFonts w:ascii="Garamond" w:hAnsi="Garamond"/>
        </w:rPr>
        <w:t>Ethiopian Jews, as a space in which religious and social processes of adaptation, identity</w:t>
      </w:r>
      <w:r>
        <w:rPr>
          <w:rFonts w:ascii="Garamond" w:hAnsi="Garamond"/>
        </w:rPr>
        <w:t xml:space="preserve"> </w:t>
      </w:r>
      <w:r w:rsidRPr="00563234">
        <w:rPr>
          <w:rFonts w:ascii="Garamond" w:hAnsi="Garamond"/>
        </w:rPr>
        <w:t>reconstruction, reactive religiosity, and negotiation are taking place among the Ethiopian</w:t>
      </w:r>
      <w:r>
        <w:rPr>
          <w:rFonts w:ascii="Garamond" w:hAnsi="Garamond"/>
        </w:rPr>
        <w:t xml:space="preserve"> </w:t>
      </w:r>
      <w:r w:rsidRPr="00563234">
        <w:rPr>
          <w:rFonts w:ascii="Garamond" w:hAnsi="Garamond"/>
        </w:rPr>
        <w:t>Jewish community in contemporary Israeli society.</w:t>
      </w:r>
      <w:r>
        <w:rPr>
          <w:rFonts w:ascii="Garamond" w:hAnsi="Garamond"/>
        </w:rPr>
        <w:t xml:space="preserve"> </w:t>
      </w:r>
      <w:r w:rsidRPr="00563234">
        <w:rPr>
          <w:rFonts w:ascii="Garamond" w:hAnsi="Garamond"/>
        </w:rPr>
        <w:t>The earliest evidence of the celebration dates to the 15th century in Ethiopia, and it</w:t>
      </w:r>
      <w:r>
        <w:rPr>
          <w:rFonts w:ascii="Garamond" w:hAnsi="Garamond"/>
        </w:rPr>
        <w:t xml:space="preserve"> </w:t>
      </w:r>
      <w:r w:rsidRPr="00563234">
        <w:rPr>
          <w:rFonts w:ascii="Garamond" w:hAnsi="Garamond"/>
        </w:rPr>
        <w:t xml:space="preserve">was first celebrated in Israel in 1980 (Sharaby, 2020). It is </w:t>
      </w:r>
      <w:proofErr w:type="spellStart"/>
      <w:r w:rsidRPr="00563234">
        <w:rPr>
          <w:rFonts w:ascii="Garamond" w:hAnsi="Garamond"/>
        </w:rPr>
        <w:t>centered</w:t>
      </w:r>
      <w:proofErr w:type="spellEnd"/>
      <w:r w:rsidRPr="00563234">
        <w:rPr>
          <w:rFonts w:ascii="Garamond" w:hAnsi="Garamond"/>
        </w:rPr>
        <w:t xml:space="preserve"> around three main</w:t>
      </w:r>
      <w:r>
        <w:rPr>
          <w:rFonts w:ascii="Garamond" w:hAnsi="Garamond"/>
        </w:rPr>
        <w:t xml:space="preserve"> </w:t>
      </w:r>
      <w:r w:rsidRPr="00563234">
        <w:rPr>
          <w:rFonts w:ascii="Garamond" w:hAnsi="Garamond"/>
        </w:rPr>
        <w:t>themes: communal atonement, renewal of the covenant, and longing for Jerusalem</w:t>
      </w:r>
      <w:r>
        <w:rPr>
          <w:rFonts w:ascii="Garamond" w:hAnsi="Garamond"/>
        </w:rPr>
        <w:t xml:space="preserve"> </w:t>
      </w:r>
      <w:r w:rsidRPr="00563234">
        <w:rPr>
          <w:rFonts w:ascii="Garamond" w:hAnsi="Garamond"/>
        </w:rPr>
        <w:t>(Abbink, 1983, 1984; Ben-Dor, 1987; Ziv, 2024). This study focuses on the religious and</w:t>
      </w:r>
      <w:r>
        <w:rPr>
          <w:rFonts w:ascii="Garamond" w:hAnsi="Garamond"/>
        </w:rPr>
        <w:t xml:space="preserve"> </w:t>
      </w:r>
      <w:r w:rsidRPr="00563234">
        <w:rPr>
          <w:rFonts w:ascii="Garamond" w:hAnsi="Garamond"/>
        </w:rPr>
        <w:t>social dimensions articulated around the day following the immigration of Ethiopian</w:t>
      </w:r>
      <w:r>
        <w:rPr>
          <w:rFonts w:ascii="Garamond" w:hAnsi="Garamond"/>
        </w:rPr>
        <w:t xml:space="preserve"> </w:t>
      </w:r>
      <w:r w:rsidRPr="00563234">
        <w:rPr>
          <w:rFonts w:ascii="Garamond" w:hAnsi="Garamond"/>
        </w:rPr>
        <w:t>Jews to Israel.</w:t>
      </w:r>
    </w:p>
    <w:p w14:paraId="5A8FCFEC" w14:textId="18C9FC6D" w:rsidR="00563234" w:rsidRPr="00563234" w:rsidRDefault="00563234" w:rsidP="00563234">
      <w:pPr>
        <w:jc w:val="both"/>
        <w:rPr>
          <w:rFonts w:ascii="Garamond" w:hAnsi="Garamond"/>
        </w:rPr>
      </w:pPr>
      <w:r w:rsidRPr="00563234">
        <w:rPr>
          <w:rFonts w:ascii="Garamond" w:hAnsi="Garamond"/>
        </w:rPr>
        <w:t xml:space="preserve">First and foremost, I </w:t>
      </w:r>
      <w:proofErr w:type="spellStart"/>
      <w:r w:rsidRPr="00563234">
        <w:rPr>
          <w:rFonts w:ascii="Garamond" w:hAnsi="Garamond"/>
        </w:rPr>
        <w:t>analyze</w:t>
      </w:r>
      <w:proofErr w:type="spellEnd"/>
      <w:r w:rsidRPr="00563234">
        <w:rPr>
          <w:rFonts w:ascii="Garamond" w:hAnsi="Garamond"/>
        </w:rPr>
        <w:t xml:space="preserve"> the </w:t>
      </w:r>
      <w:proofErr w:type="spellStart"/>
      <w:r w:rsidRPr="00563234">
        <w:rPr>
          <w:rFonts w:ascii="Garamond" w:hAnsi="Garamond"/>
        </w:rPr>
        <w:t>Sigd</w:t>
      </w:r>
      <w:proofErr w:type="spellEnd"/>
      <w:r w:rsidRPr="00563234">
        <w:rPr>
          <w:rFonts w:ascii="Garamond" w:hAnsi="Garamond"/>
        </w:rPr>
        <w:t xml:space="preserve"> holiday, a day unique to Ethiopian Jews,</w:t>
      </w:r>
      <w:r>
        <w:rPr>
          <w:rFonts w:ascii="Garamond" w:hAnsi="Garamond"/>
        </w:rPr>
        <w:t xml:space="preserve"> </w:t>
      </w:r>
      <w:r w:rsidRPr="00563234">
        <w:rPr>
          <w:rFonts w:ascii="Garamond" w:hAnsi="Garamond"/>
        </w:rPr>
        <w:t>within its religious setting. I further examine the day as a religious observance that</w:t>
      </w:r>
      <w:r>
        <w:rPr>
          <w:rFonts w:ascii="Garamond" w:hAnsi="Garamond"/>
        </w:rPr>
        <w:t xml:space="preserve"> </w:t>
      </w:r>
      <w:r w:rsidRPr="00563234">
        <w:rPr>
          <w:rFonts w:ascii="Garamond" w:hAnsi="Garamond"/>
        </w:rPr>
        <w:t>mediates between identity formation and boundary-making for Ethiopian Jews within</w:t>
      </w:r>
      <w:r>
        <w:rPr>
          <w:rFonts w:ascii="Garamond" w:hAnsi="Garamond"/>
        </w:rPr>
        <w:t xml:space="preserve"> </w:t>
      </w:r>
      <w:r w:rsidRPr="00563234">
        <w:rPr>
          <w:rFonts w:ascii="Garamond" w:hAnsi="Garamond"/>
        </w:rPr>
        <w:t xml:space="preserve">the Israeli national-religious sphere. This research therefore seeks to understand the </w:t>
      </w:r>
      <w:proofErr w:type="spellStart"/>
      <w:r w:rsidRPr="00563234">
        <w:rPr>
          <w:rFonts w:ascii="Garamond" w:hAnsi="Garamond"/>
        </w:rPr>
        <w:t>Sigd</w:t>
      </w:r>
      <w:proofErr w:type="spellEnd"/>
      <w:r>
        <w:rPr>
          <w:rFonts w:ascii="Garamond" w:hAnsi="Garamond"/>
        </w:rPr>
        <w:t xml:space="preserve"> </w:t>
      </w:r>
      <w:r w:rsidRPr="00563234">
        <w:rPr>
          <w:rFonts w:ascii="Garamond" w:hAnsi="Garamond"/>
        </w:rPr>
        <w:t>holiday as a religious practice through which processes of integration, particularity, and</w:t>
      </w:r>
      <w:r>
        <w:rPr>
          <w:rFonts w:ascii="Garamond" w:hAnsi="Garamond"/>
        </w:rPr>
        <w:t xml:space="preserve"> </w:t>
      </w:r>
      <w:r w:rsidRPr="00563234">
        <w:rPr>
          <w:rFonts w:ascii="Garamond" w:hAnsi="Garamond"/>
        </w:rPr>
        <w:t xml:space="preserve">the articulation of </w:t>
      </w:r>
      <w:proofErr w:type="gramStart"/>
      <w:r w:rsidRPr="00563234">
        <w:rPr>
          <w:rFonts w:ascii="Garamond" w:hAnsi="Garamond"/>
        </w:rPr>
        <w:t>Ethiopian-Israeli</w:t>
      </w:r>
      <w:proofErr w:type="gramEnd"/>
      <w:r w:rsidRPr="00563234">
        <w:rPr>
          <w:rFonts w:ascii="Garamond" w:hAnsi="Garamond"/>
        </w:rPr>
        <w:t xml:space="preserve"> identity unfold in contemporary Israel.</w:t>
      </w:r>
      <w:r>
        <w:rPr>
          <w:rFonts w:ascii="Garamond" w:hAnsi="Garamond"/>
        </w:rPr>
        <w:t xml:space="preserve"> </w:t>
      </w:r>
      <w:r w:rsidRPr="00563234">
        <w:rPr>
          <w:rFonts w:ascii="Garamond" w:hAnsi="Garamond"/>
        </w:rPr>
        <w:t>The theoretical framework of the study combines Tobolowsky’s concept of</w:t>
      </w:r>
      <w:r>
        <w:rPr>
          <w:rFonts w:ascii="Garamond" w:hAnsi="Garamond"/>
        </w:rPr>
        <w:t xml:space="preserve"> </w:t>
      </w:r>
      <w:r w:rsidRPr="00563234">
        <w:rPr>
          <w:rFonts w:ascii="Garamond" w:hAnsi="Garamond"/>
        </w:rPr>
        <w:t>Becoming Israel (2022) together with theories of sacralization and reactive religiosity,</w:t>
      </w:r>
      <w:r>
        <w:rPr>
          <w:rFonts w:ascii="Garamond" w:hAnsi="Garamond"/>
        </w:rPr>
        <w:t xml:space="preserve"> </w:t>
      </w:r>
      <w:r w:rsidRPr="00563234">
        <w:rPr>
          <w:rFonts w:ascii="Garamond" w:hAnsi="Garamond"/>
        </w:rPr>
        <w:t xml:space="preserve">particularly </w:t>
      </w:r>
      <w:r w:rsidRPr="00563234">
        <w:rPr>
          <w:rFonts w:ascii="Garamond" w:hAnsi="Garamond"/>
        </w:rPr>
        <w:lastRenderedPageBreak/>
        <w:t xml:space="preserve">in light of ongoing religious and racial discrimination (Friberg &amp; </w:t>
      </w:r>
      <w:proofErr w:type="spellStart"/>
      <w:r w:rsidRPr="00563234">
        <w:rPr>
          <w:rFonts w:ascii="Garamond" w:hAnsi="Garamond"/>
        </w:rPr>
        <w:t>Sterri</w:t>
      </w:r>
      <w:proofErr w:type="spellEnd"/>
      <w:r w:rsidRPr="00563234">
        <w:rPr>
          <w:rFonts w:ascii="Garamond" w:hAnsi="Garamond"/>
        </w:rPr>
        <w:t>, 2021;</w:t>
      </w:r>
      <w:r>
        <w:rPr>
          <w:rFonts w:ascii="Garamond" w:hAnsi="Garamond"/>
        </w:rPr>
        <w:t xml:space="preserve"> </w:t>
      </w:r>
      <w:r w:rsidRPr="00563234">
        <w:rPr>
          <w:rFonts w:ascii="Garamond" w:hAnsi="Garamond"/>
        </w:rPr>
        <w:t xml:space="preserve">Talmi-Cohn, 2023). Following Jensen’s (2003) insights, the </w:t>
      </w:r>
      <w:proofErr w:type="spellStart"/>
      <w:r w:rsidRPr="00563234">
        <w:rPr>
          <w:rFonts w:ascii="Garamond" w:hAnsi="Garamond"/>
        </w:rPr>
        <w:t>Sigd</w:t>
      </w:r>
      <w:proofErr w:type="spellEnd"/>
      <w:r w:rsidRPr="00563234">
        <w:rPr>
          <w:rFonts w:ascii="Garamond" w:hAnsi="Garamond"/>
        </w:rPr>
        <w:t xml:space="preserve"> holiday is not regarded as</w:t>
      </w:r>
      <w:r>
        <w:rPr>
          <w:rFonts w:ascii="Garamond" w:hAnsi="Garamond"/>
        </w:rPr>
        <w:t xml:space="preserve"> </w:t>
      </w:r>
      <w:r w:rsidRPr="00563234">
        <w:rPr>
          <w:rFonts w:ascii="Garamond" w:hAnsi="Garamond"/>
        </w:rPr>
        <w:t>a static “religious object,” but rather as a process through which meaning is constructed.</w:t>
      </w:r>
      <w:r>
        <w:rPr>
          <w:rFonts w:ascii="Garamond" w:hAnsi="Garamond"/>
        </w:rPr>
        <w:t xml:space="preserve"> </w:t>
      </w:r>
      <w:r w:rsidRPr="00563234">
        <w:rPr>
          <w:rFonts w:ascii="Garamond" w:hAnsi="Garamond"/>
        </w:rPr>
        <w:t xml:space="preserve">Within the context of Ethiopian Jews in Israel, the </w:t>
      </w:r>
      <w:proofErr w:type="spellStart"/>
      <w:r w:rsidRPr="00563234">
        <w:rPr>
          <w:rFonts w:ascii="Garamond" w:hAnsi="Garamond"/>
        </w:rPr>
        <w:t>Sigd</w:t>
      </w:r>
      <w:proofErr w:type="spellEnd"/>
      <w:r w:rsidRPr="00563234">
        <w:rPr>
          <w:rFonts w:ascii="Garamond" w:hAnsi="Garamond"/>
        </w:rPr>
        <w:t xml:space="preserve"> holiday is viewed partly as a form</w:t>
      </w:r>
      <w:r>
        <w:rPr>
          <w:rFonts w:ascii="Garamond" w:hAnsi="Garamond"/>
        </w:rPr>
        <w:t xml:space="preserve"> </w:t>
      </w:r>
      <w:r w:rsidRPr="00563234">
        <w:rPr>
          <w:rFonts w:ascii="Garamond" w:hAnsi="Garamond"/>
        </w:rPr>
        <w:t xml:space="preserve">of community sacralization. Accordingly, this study advocates examining the </w:t>
      </w:r>
      <w:proofErr w:type="spellStart"/>
      <w:r w:rsidRPr="00563234">
        <w:rPr>
          <w:rFonts w:ascii="Garamond" w:hAnsi="Garamond"/>
        </w:rPr>
        <w:t>Sigd</w:t>
      </w:r>
      <w:proofErr w:type="spellEnd"/>
      <w:r w:rsidRPr="00563234">
        <w:rPr>
          <w:rFonts w:ascii="Garamond" w:hAnsi="Garamond"/>
        </w:rPr>
        <w:t xml:space="preserve"> across</w:t>
      </w:r>
      <w:r>
        <w:rPr>
          <w:rFonts w:ascii="Garamond" w:hAnsi="Garamond"/>
        </w:rPr>
        <w:t xml:space="preserve"> </w:t>
      </w:r>
      <w:r w:rsidRPr="00563234">
        <w:rPr>
          <w:rFonts w:ascii="Garamond" w:hAnsi="Garamond"/>
        </w:rPr>
        <w:t>multiple dimensions, including social, political, and religious.</w:t>
      </w:r>
    </w:p>
    <w:p w14:paraId="6D0107CB" w14:textId="76F0670F" w:rsidR="00563234" w:rsidRDefault="00563234" w:rsidP="00563234">
      <w:pPr>
        <w:jc w:val="both"/>
        <w:rPr>
          <w:rFonts w:ascii="Garamond" w:hAnsi="Garamond"/>
        </w:rPr>
      </w:pPr>
      <w:r w:rsidRPr="00563234">
        <w:rPr>
          <w:rFonts w:ascii="Garamond" w:hAnsi="Garamond"/>
        </w:rPr>
        <w:t>Drawing on the approaches of David Chidester (1994), Jay Demerath (2007), Jere</w:t>
      </w:r>
      <w:r>
        <w:rPr>
          <w:rFonts w:ascii="Garamond" w:hAnsi="Garamond"/>
        </w:rPr>
        <w:t xml:space="preserve"> </w:t>
      </w:r>
      <w:proofErr w:type="spellStart"/>
      <w:r w:rsidRPr="00563234">
        <w:rPr>
          <w:rFonts w:ascii="Garamond" w:hAnsi="Garamond"/>
        </w:rPr>
        <w:t>Kyyrö</w:t>
      </w:r>
      <w:proofErr w:type="spellEnd"/>
      <w:r w:rsidRPr="00563234">
        <w:rPr>
          <w:rFonts w:ascii="Garamond" w:hAnsi="Garamond"/>
        </w:rPr>
        <w:t xml:space="preserve"> (2017), and Jörg </w:t>
      </w:r>
      <w:proofErr w:type="spellStart"/>
      <w:r w:rsidRPr="00563234">
        <w:rPr>
          <w:rFonts w:ascii="Garamond" w:hAnsi="Garamond"/>
        </w:rPr>
        <w:t>Rüpke</w:t>
      </w:r>
      <w:proofErr w:type="spellEnd"/>
      <w:r w:rsidRPr="00563234">
        <w:rPr>
          <w:rFonts w:ascii="Garamond" w:hAnsi="Garamond"/>
        </w:rPr>
        <w:t xml:space="preserve"> (2018), the </w:t>
      </w:r>
      <w:proofErr w:type="spellStart"/>
      <w:r w:rsidRPr="00563234">
        <w:rPr>
          <w:rFonts w:ascii="Garamond" w:hAnsi="Garamond"/>
        </w:rPr>
        <w:t>Sigd</w:t>
      </w:r>
      <w:proofErr w:type="spellEnd"/>
      <w:r w:rsidRPr="00563234">
        <w:rPr>
          <w:rFonts w:ascii="Garamond" w:hAnsi="Garamond"/>
        </w:rPr>
        <w:t xml:space="preserve"> holiday is </w:t>
      </w:r>
      <w:proofErr w:type="spellStart"/>
      <w:r w:rsidRPr="00563234">
        <w:rPr>
          <w:rFonts w:ascii="Garamond" w:hAnsi="Garamond"/>
        </w:rPr>
        <w:t>analyzed</w:t>
      </w:r>
      <w:proofErr w:type="spellEnd"/>
      <w:r w:rsidRPr="00563234">
        <w:rPr>
          <w:rFonts w:ascii="Garamond" w:hAnsi="Garamond"/>
        </w:rPr>
        <w:t xml:space="preserve"> as a process of both</w:t>
      </w:r>
      <w:r>
        <w:rPr>
          <w:rFonts w:ascii="Garamond" w:hAnsi="Garamond"/>
        </w:rPr>
        <w:t xml:space="preserve"> </w:t>
      </w:r>
      <w:r w:rsidRPr="00563234">
        <w:rPr>
          <w:rFonts w:ascii="Garamond" w:hAnsi="Garamond"/>
        </w:rPr>
        <w:t>internal and external sacralization. Externally, the holiday represents a dynamic practice</w:t>
      </w:r>
      <w:r>
        <w:rPr>
          <w:rFonts w:ascii="Garamond" w:hAnsi="Garamond"/>
        </w:rPr>
        <w:t xml:space="preserve"> </w:t>
      </w:r>
      <w:r w:rsidRPr="00563234">
        <w:rPr>
          <w:rFonts w:ascii="Garamond" w:hAnsi="Garamond"/>
        </w:rPr>
        <w:t>through which the community seeks to position its identity and secure its religious status</w:t>
      </w:r>
      <w:r>
        <w:rPr>
          <w:rFonts w:ascii="Garamond" w:hAnsi="Garamond"/>
        </w:rPr>
        <w:t xml:space="preserve"> </w:t>
      </w:r>
      <w:r w:rsidRPr="00563234">
        <w:rPr>
          <w:rFonts w:ascii="Garamond" w:hAnsi="Garamond"/>
        </w:rPr>
        <w:t>within the broader Jewish public in Israel. Internally, it serves as a religious observance</w:t>
      </w:r>
      <w:r>
        <w:rPr>
          <w:rFonts w:ascii="Garamond" w:hAnsi="Garamond"/>
        </w:rPr>
        <w:t xml:space="preserve"> </w:t>
      </w:r>
      <w:r w:rsidRPr="00563234">
        <w:rPr>
          <w:rFonts w:ascii="Garamond" w:hAnsi="Garamond"/>
        </w:rPr>
        <w:t>that preserves ancestral Ethiopian traditions and demonstrates Shalom’s (2024) argument</w:t>
      </w:r>
      <w:r>
        <w:rPr>
          <w:rFonts w:ascii="Garamond" w:hAnsi="Garamond"/>
        </w:rPr>
        <w:t xml:space="preserve"> </w:t>
      </w:r>
      <w:r w:rsidRPr="00563234">
        <w:rPr>
          <w:rFonts w:ascii="Garamond" w:hAnsi="Garamond"/>
        </w:rPr>
        <w:t xml:space="preserve">that Ethiopian and Halakhic Judaism are distinct Jewish models. Thus, the </w:t>
      </w:r>
      <w:proofErr w:type="spellStart"/>
      <w:r w:rsidRPr="00563234">
        <w:rPr>
          <w:rFonts w:ascii="Garamond" w:hAnsi="Garamond"/>
        </w:rPr>
        <w:t>Sigd</w:t>
      </w:r>
      <w:proofErr w:type="spellEnd"/>
      <w:r w:rsidRPr="00563234">
        <w:rPr>
          <w:rFonts w:ascii="Garamond" w:hAnsi="Garamond"/>
        </w:rPr>
        <w:t xml:space="preserve"> is</w:t>
      </w:r>
      <w:r>
        <w:rPr>
          <w:rFonts w:ascii="Garamond" w:hAnsi="Garamond"/>
        </w:rPr>
        <w:t xml:space="preserve"> </w:t>
      </w:r>
      <w:r w:rsidRPr="00563234">
        <w:rPr>
          <w:rFonts w:ascii="Garamond" w:hAnsi="Garamond"/>
        </w:rPr>
        <w:t>understood as a religious practice through which the community expresses its collective</w:t>
      </w:r>
      <w:r>
        <w:rPr>
          <w:rFonts w:ascii="Garamond" w:hAnsi="Garamond"/>
        </w:rPr>
        <w:t xml:space="preserve"> </w:t>
      </w:r>
      <w:r w:rsidRPr="00563234">
        <w:rPr>
          <w:rFonts w:ascii="Garamond" w:hAnsi="Garamond"/>
        </w:rPr>
        <w:t>Israeli identity, while simultaneously sustaining its distinct heritage within the wider</w:t>
      </w:r>
      <w:r>
        <w:rPr>
          <w:rFonts w:ascii="Garamond" w:hAnsi="Garamond"/>
        </w:rPr>
        <w:t xml:space="preserve"> </w:t>
      </w:r>
      <w:r w:rsidRPr="00563234">
        <w:rPr>
          <w:rFonts w:ascii="Garamond" w:hAnsi="Garamond"/>
        </w:rPr>
        <w:t>Jewish world.</w:t>
      </w:r>
    </w:p>
    <w:p w14:paraId="6806FABE" w14:textId="77777777" w:rsidR="00563234" w:rsidRDefault="00563234" w:rsidP="00563234">
      <w:pPr>
        <w:jc w:val="both"/>
        <w:rPr>
          <w:rFonts w:ascii="Garamond" w:hAnsi="Garamond"/>
        </w:rPr>
      </w:pPr>
    </w:p>
    <w:p w14:paraId="7B50FFEE" w14:textId="2C0B7EF1" w:rsidR="00563234" w:rsidRDefault="00563234" w:rsidP="00563234">
      <w:pPr>
        <w:jc w:val="both"/>
        <w:rPr>
          <w:rFonts w:ascii="Garamond" w:hAnsi="Garamond"/>
          <w:b/>
          <w:bCs/>
        </w:rPr>
      </w:pPr>
      <w:r>
        <w:rPr>
          <w:rFonts w:ascii="Garamond" w:hAnsi="Garamond"/>
          <w:b/>
          <w:bCs/>
        </w:rPr>
        <w:t>August 21</w:t>
      </w:r>
    </w:p>
    <w:p w14:paraId="7668BE46" w14:textId="77777777" w:rsidR="00563234" w:rsidRDefault="00563234" w:rsidP="00563234">
      <w:pPr>
        <w:spacing w:line="276" w:lineRule="auto"/>
        <w:jc w:val="both"/>
        <w:rPr>
          <w:rFonts w:ascii="Garamond" w:hAnsi="Garamond"/>
        </w:rPr>
      </w:pPr>
      <w:r w:rsidRPr="00462DF1">
        <w:rPr>
          <w:rFonts w:ascii="Garamond" w:hAnsi="Garamond"/>
          <w:b/>
          <w:bCs/>
        </w:rPr>
        <w:t>Natalia Zawiejska</w:t>
      </w:r>
      <w:r>
        <w:rPr>
          <w:rFonts w:ascii="Garamond" w:hAnsi="Garamond"/>
        </w:rPr>
        <w:t xml:space="preserve"> (Jagiellonian University, Poland) – </w:t>
      </w:r>
      <w:r w:rsidRPr="00462DF1">
        <w:rPr>
          <w:rFonts w:ascii="Garamond" w:hAnsi="Garamond"/>
        </w:rPr>
        <w:t xml:space="preserve">‘Urban </w:t>
      </w:r>
      <w:r>
        <w:rPr>
          <w:rFonts w:ascii="Garamond" w:hAnsi="Garamond"/>
        </w:rPr>
        <w:t>R</w:t>
      </w:r>
      <w:r w:rsidRPr="00462DF1">
        <w:rPr>
          <w:rFonts w:ascii="Garamond" w:hAnsi="Garamond"/>
        </w:rPr>
        <w:t xml:space="preserve">eligion’ and the </w:t>
      </w:r>
      <w:r>
        <w:rPr>
          <w:rFonts w:ascii="Garamond" w:hAnsi="Garamond"/>
        </w:rPr>
        <w:t>S</w:t>
      </w:r>
      <w:r w:rsidRPr="00462DF1">
        <w:rPr>
          <w:rFonts w:ascii="Garamond" w:hAnsi="Garamond"/>
        </w:rPr>
        <w:t xml:space="preserve">tudy of </w:t>
      </w:r>
      <w:r>
        <w:rPr>
          <w:rFonts w:ascii="Garamond" w:hAnsi="Garamond"/>
        </w:rPr>
        <w:t>R</w:t>
      </w:r>
      <w:r w:rsidRPr="00462DF1">
        <w:rPr>
          <w:rFonts w:ascii="Garamond" w:hAnsi="Garamond"/>
        </w:rPr>
        <w:t xml:space="preserve">eligion. Linking </w:t>
      </w:r>
      <w:r>
        <w:rPr>
          <w:rFonts w:ascii="Garamond" w:hAnsi="Garamond"/>
        </w:rPr>
        <w:t>E</w:t>
      </w:r>
      <w:r w:rsidRPr="00462DF1">
        <w:rPr>
          <w:rFonts w:ascii="Garamond" w:hAnsi="Garamond"/>
        </w:rPr>
        <w:t xml:space="preserve">thnography, </w:t>
      </w:r>
      <w:r>
        <w:rPr>
          <w:rFonts w:ascii="Garamond" w:hAnsi="Garamond"/>
        </w:rPr>
        <w:t>E</w:t>
      </w:r>
      <w:r w:rsidRPr="00462DF1">
        <w:rPr>
          <w:rFonts w:ascii="Garamond" w:hAnsi="Garamond"/>
        </w:rPr>
        <w:t xml:space="preserve">xperiment, </w:t>
      </w:r>
      <w:r>
        <w:rPr>
          <w:rFonts w:ascii="Garamond" w:hAnsi="Garamond"/>
        </w:rPr>
        <w:t>C</w:t>
      </w:r>
      <w:r w:rsidRPr="00462DF1">
        <w:rPr>
          <w:rFonts w:ascii="Garamond" w:hAnsi="Garamond"/>
        </w:rPr>
        <w:t xml:space="preserve">oncepts and </w:t>
      </w:r>
      <w:r>
        <w:rPr>
          <w:rFonts w:ascii="Garamond" w:hAnsi="Garamond"/>
        </w:rPr>
        <w:t>P</w:t>
      </w:r>
      <w:r w:rsidRPr="00462DF1">
        <w:rPr>
          <w:rFonts w:ascii="Garamond" w:hAnsi="Garamond"/>
        </w:rPr>
        <w:t>erspectives</w:t>
      </w:r>
    </w:p>
    <w:p w14:paraId="19E9CA07" w14:textId="0F7CAA71" w:rsidR="00563234" w:rsidRPr="00563234" w:rsidRDefault="00563234" w:rsidP="00563234">
      <w:pPr>
        <w:jc w:val="both"/>
        <w:rPr>
          <w:rFonts w:ascii="Garamond" w:hAnsi="Garamond"/>
          <w:lang w:val="en-US"/>
        </w:rPr>
      </w:pPr>
      <w:r w:rsidRPr="00563234">
        <w:rPr>
          <w:rFonts w:ascii="Garamond" w:hAnsi="Garamond"/>
          <w:lang w:val="en-US"/>
        </w:rPr>
        <w:t xml:space="preserve">In my presentation I would like to reflect on the concept which disentangles the study of religion from </w:t>
      </w:r>
      <w:proofErr w:type="gramStart"/>
      <w:r w:rsidRPr="00563234">
        <w:rPr>
          <w:rFonts w:ascii="Garamond" w:hAnsi="Garamond"/>
          <w:lang w:val="en-US"/>
        </w:rPr>
        <w:t>particular traditions</w:t>
      </w:r>
      <w:proofErr w:type="gramEnd"/>
      <w:r w:rsidRPr="00563234">
        <w:rPr>
          <w:rFonts w:ascii="Garamond" w:hAnsi="Garamond"/>
          <w:lang w:val="en-US"/>
        </w:rPr>
        <w:t xml:space="preserve">, yet it remains dependent on the empirical data – ethnography – and, and on the experimental research process. Most of earlier concepts dealing with ‘urban religion’ focused on the study of </w:t>
      </w:r>
      <w:proofErr w:type="gramStart"/>
      <w:r w:rsidRPr="00563234">
        <w:rPr>
          <w:rFonts w:ascii="Garamond" w:hAnsi="Garamond"/>
          <w:lang w:val="en-US"/>
        </w:rPr>
        <w:t>particular groups</w:t>
      </w:r>
      <w:proofErr w:type="gramEnd"/>
      <w:r w:rsidRPr="00563234">
        <w:rPr>
          <w:rFonts w:ascii="Garamond" w:hAnsi="Garamond"/>
          <w:lang w:val="en-US"/>
        </w:rPr>
        <w:t xml:space="preserve"> and traditions while they </w:t>
      </w:r>
      <w:proofErr w:type="gramStart"/>
      <w:r w:rsidRPr="00563234">
        <w:rPr>
          <w:rFonts w:ascii="Garamond" w:hAnsi="Garamond"/>
          <w:lang w:val="en-US"/>
        </w:rPr>
        <w:t>are located in</w:t>
      </w:r>
      <w:proofErr w:type="gramEnd"/>
      <w:r w:rsidRPr="00563234">
        <w:rPr>
          <w:rFonts w:ascii="Garamond" w:hAnsi="Garamond"/>
          <w:lang w:val="en-US"/>
        </w:rPr>
        <w:t xml:space="preserve"> the city. The city was treated as a venue for religion. I suggest rethinking urban religion in both ways: as a new conceptualization of a heuristic concept and as a new perspective on approaching ‘religion’ when located in the urban sphere. I suggest studying religion and urbanity nexus approaching religion as a part of urbanity, a religion of the city, a part of urban sensory formation, shared social imaginaries and urban intrinsic logic. However, I also suggest that urban religion constitutes own </w:t>
      </w:r>
      <w:proofErr w:type="gramStart"/>
      <w:r w:rsidRPr="00563234">
        <w:rPr>
          <w:rFonts w:ascii="Garamond" w:hAnsi="Garamond"/>
          <w:lang w:val="en-US"/>
        </w:rPr>
        <w:t>logics</w:t>
      </w:r>
      <w:proofErr w:type="gramEnd"/>
      <w:r w:rsidRPr="00563234">
        <w:rPr>
          <w:rFonts w:ascii="Garamond" w:hAnsi="Garamond"/>
          <w:lang w:val="en-US"/>
        </w:rPr>
        <w:t xml:space="preserve"> that </w:t>
      </w:r>
      <w:proofErr w:type="gramStart"/>
      <w:r w:rsidRPr="00563234">
        <w:rPr>
          <w:rFonts w:ascii="Garamond" w:hAnsi="Garamond"/>
          <w:lang w:val="en-US"/>
        </w:rPr>
        <w:t>shape</w:t>
      </w:r>
      <w:proofErr w:type="gramEnd"/>
      <w:r w:rsidRPr="00563234">
        <w:rPr>
          <w:rFonts w:ascii="Garamond" w:hAnsi="Garamond"/>
          <w:lang w:val="en-US"/>
        </w:rPr>
        <w:t xml:space="preserve"> urbanities. In this vein urban religion </w:t>
      </w:r>
      <w:proofErr w:type="gramStart"/>
      <w:r w:rsidRPr="00563234">
        <w:rPr>
          <w:rFonts w:ascii="Garamond" w:hAnsi="Garamond"/>
          <w:lang w:val="en-US"/>
        </w:rPr>
        <w:t>names</w:t>
      </w:r>
      <w:proofErr w:type="gramEnd"/>
      <w:r w:rsidRPr="00563234">
        <w:rPr>
          <w:rFonts w:ascii="Garamond" w:hAnsi="Garamond"/>
          <w:lang w:val="en-US"/>
        </w:rPr>
        <w:t xml:space="preserve"> a new frame for studying religion and </w:t>
      </w:r>
      <w:proofErr w:type="gramStart"/>
      <w:r w:rsidRPr="00563234">
        <w:rPr>
          <w:rFonts w:ascii="Garamond" w:hAnsi="Garamond"/>
          <w:lang w:val="en-US"/>
        </w:rPr>
        <w:t>readjusts</w:t>
      </w:r>
      <w:proofErr w:type="gramEnd"/>
      <w:r w:rsidRPr="00563234">
        <w:rPr>
          <w:rFonts w:ascii="Garamond" w:hAnsi="Garamond"/>
          <w:lang w:val="en-US"/>
        </w:rPr>
        <w:t xml:space="preserve"> links between urbanity, urban public and religion. The proposed elaboration of urban religion concept has taken form in a long experimental research process, based on ethnography and mapping of religious icons – an assumed smallest unit of urban religion, in three Polish cities. </w:t>
      </w:r>
      <w:proofErr w:type="gramStart"/>
      <w:r w:rsidRPr="00563234">
        <w:rPr>
          <w:rFonts w:ascii="Garamond" w:hAnsi="Garamond"/>
          <w:lang w:val="en-US"/>
        </w:rPr>
        <w:t>Religious icons,</w:t>
      </w:r>
      <w:proofErr w:type="gramEnd"/>
      <w:r w:rsidRPr="00563234">
        <w:rPr>
          <w:rFonts w:ascii="Garamond" w:hAnsi="Garamond"/>
          <w:lang w:val="en-US"/>
        </w:rPr>
        <w:t xml:space="preserve"> are central for understanding the features of urban religion as they are often fluid, context dependent and </w:t>
      </w:r>
      <w:proofErr w:type="gramStart"/>
      <w:r w:rsidRPr="00563234">
        <w:rPr>
          <w:rFonts w:ascii="Garamond" w:hAnsi="Garamond"/>
          <w:lang w:val="en-US"/>
        </w:rPr>
        <w:t>depend</w:t>
      </w:r>
      <w:proofErr w:type="gramEnd"/>
      <w:r w:rsidRPr="00563234">
        <w:rPr>
          <w:rFonts w:ascii="Garamond" w:hAnsi="Garamond"/>
          <w:lang w:val="en-US"/>
        </w:rPr>
        <w:t xml:space="preserve"> on interpretation. The research itself constituted a conceptualization process with researchers positioned as ‘detectors’ of urban religion, who sensed and documented urban religion, based on shared social imaginaries and sensorium. The research employed GIS and digital humanities to operationalize the data, which reach over 22 000 records, now available in Urban Religion Archive (URA App). This Archive allowed further conceptualization by scrolling, filtering and zooming which sort ‘religious icons’ into aggregates, classified according to </w:t>
      </w:r>
      <w:proofErr w:type="gramStart"/>
      <w:r w:rsidRPr="00563234">
        <w:rPr>
          <w:rFonts w:ascii="Garamond" w:hAnsi="Garamond"/>
          <w:lang w:val="en-US"/>
        </w:rPr>
        <w:t>particular principles</w:t>
      </w:r>
      <w:proofErr w:type="gramEnd"/>
      <w:r w:rsidRPr="00563234">
        <w:rPr>
          <w:rFonts w:ascii="Garamond" w:hAnsi="Garamond"/>
          <w:lang w:val="en-US"/>
        </w:rPr>
        <w:t>, partially detached from religious traditions. Such operations interrogate the construction, structure and features of the urban, religious field.</w:t>
      </w:r>
      <w:r>
        <w:rPr>
          <w:rFonts w:ascii="Garamond" w:hAnsi="Garamond"/>
          <w:lang w:val="en-US"/>
        </w:rPr>
        <w:t xml:space="preserve"> </w:t>
      </w:r>
      <w:r w:rsidRPr="00563234">
        <w:rPr>
          <w:rFonts w:ascii="Garamond" w:hAnsi="Garamond"/>
          <w:lang w:val="en-US"/>
        </w:rPr>
        <w:t xml:space="preserve">The new concept challenges the focus of the study of religion, contributing to current developments </w:t>
      </w:r>
      <w:r w:rsidRPr="00563234">
        <w:rPr>
          <w:rFonts w:ascii="Garamond" w:hAnsi="Garamond"/>
          <w:lang w:val="en-US"/>
        </w:rPr>
        <w:lastRenderedPageBreak/>
        <w:t xml:space="preserve">of the study of religion. </w:t>
      </w:r>
      <w:proofErr w:type="gramStart"/>
      <w:r w:rsidRPr="00563234">
        <w:rPr>
          <w:rFonts w:ascii="Garamond" w:hAnsi="Garamond"/>
          <w:lang w:val="en-US"/>
        </w:rPr>
        <w:t>However</w:t>
      </w:r>
      <w:proofErr w:type="gramEnd"/>
      <w:r w:rsidRPr="00563234">
        <w:rPr>
          <w:rFonts w:ascii="Garamond" w:hAnsi="Garamond"/>
          <w:lang w:val="en-US"/>
        </w:rPr>
        <w:t xml:space="preserve"> it also triggers </w:t>
      </w:r>
      <w:proofErr w:type="gramStart"/>
      <w:r w:rsidRPr="00563234">
        <w:rPr>
          <w:rFonts w:ascii="Garamond" w:hAnsi="Garamond"/>
          <w:lang w:val="en-US"/>
        </w:rPr>
        <w:t>refection</w:t>
      </w:r>
      <w:proofErr w:type="gramEnd"/>
      <w:r w:rsidRPr="00563234">
        <w:rPr>
          <w:rFonts w:ascii="Garamond" w:hAnsi="Garamond"/>
          <w:lang w:val="en-US"/>
        </w:rPr>
        <w:t xml:space="preserve"> on possible applicability of the new perspective of framing religion (e.g. dissolving the object of the study) in a range of managerial policies.   </w:t>
      </w:r>
    </w:p>
    <w:p w14:paraId="500C3FFF" w14:textId="77777777" w:rsidR="00563234" w:rsidRDefault="00563234" w:rsidP="00563234">
      <w:pPr>
        <w:jc w:val="both"/>
        <w:rPr>
          <w:rFonts w:ascii="Garamond" w:hAnsi="Garamond"/>
          <w:lang w:val="en-US"/>
        </w:rPr>
      </w:pPr>
    </w:p>
    <w:p w14:paraId="5C66065B" w14:textId="77777777" w:rsidR="0064037E" w:rsidRDefault="0064037E" w:rsidP="0064037E">
      <w:pPr>
        <w:spacing w:line="276" w:lineRule="auto"/>
        <w:jc w:val="both"/>
        <w:rPr>
          <w:rFonts w:ascii="Garamond" w:hAnsi="Garamond"/>
        </w:rPr>
      </w:pPr>
      <w:r>
        <w:rPr>
          <w:rFonts w:ascii="Garamond" w:hAnsi="Garamond"/>
          <w:b/>
          <w:bCs/>
        </w:rPr>
        <w:t xml:space="preserve">Taja Fortuna </w:t>
      </w:r>
      <w:r>
        <w:rPr>
          <w:rFonts w:ascii="Garamond" w:hAnsi="Garamond"/>
        </w:rPr>
        <w:t>(</w:t>
      </w:r>
      <w:r w:rsidRPr="00462DF1">
        <w:rPr>
          <w:rFonts w:ascii="Garamond" w:hAnsi="Garamond"/>
        </w:rPr>
        <w:t>University of Ljubljana</w:t>
      </w:r>
      <w:r>
        <w:rPr>
          <w:rFonts w:ascii="Garamond" w:hAnsi="Garamond"/>
        </w:rPr>
        <w:t xml:space="preserve">, Slovenia) – </w:t>
      </w:r>
      <w:r w:rsidRPr="00462DF1">
        <w:rPr>
          <w:rFonts w:ascii="Garamond" w:hAnsi="Garamond"/>
        </w:rPr>
        <w:t xml:space="preserve">Living and </w:t>
      </w:r>
      <w:r>
        <w:rPr>
          <w:rFonts w:ascii="Garamond" w:hAnsi="Garamond"/>
        </w:rPr>
        <w:t>T</w:t>
      </w:r>
      <w:r w:rsidRPr="00462DF1">
        <w:rPr>
          <w:rFonts w:ascii="Garamond" w:hAnsi="Garamond"/>
        </w:rPr>
        <w:t xml:space="preserve">ransmitting the Virgin of Guadalupe’s </w:t>
      </w:r>
      <w:r>
        <w:rPr>
          <w:rFonts w:ascii="Garamond" w:hAnsi="Garamond"/>
        </w:rPr>
        <w:t>C</w:t>
      </w:r>
      <w:r w:rsidRPr="00462DF1">
        <w:rPr>
          <w:rFonts w:ascii="Garamond" w:hAnsi="Garamond"/>
        </w:rPr>
        <w:t>ult in Contemporary Guadalajara,</w:t>
      </w:r>
      <w:r>
        <w:rPr>
          <w:rFonts w:ascii="Garamond" w:hAnsi="Garamond"/>
        </w:rPr>
        <w:t xml:space="preserve"> </w:t>
      </w:r>
      <w:r w:rsidRPr="00462DF1">
        <w:rPr>
          <w:rFonts w:ascii="Garamond" w:hAnsi="Garamond"/>
        </w:rPr>
        <w:t>Mexico</w:t>
      </w:r>
    </w:p>
    <w:p w14:paraId="185428D2" w14:textId="14545FF8" w:rsidR="0064037E" w:rsidRDefault="0064037E" w:rsidP="0064037E">
      <w:pPr>
        <w:jc w:val="both"/>
        <w:rPr>
          <w:rFonts w:ascii="Garamond" w:hAnsi="Garamond"/>
        </w:rPr>
      </w:pPr>
      <w:r w:rsidRPr="0064037E">
        <w:rPr>
          <w:rFonts w:ascii="Garamond" w:hAnsi="Garamond"/>
        </w:rPr>
        <w:t>In this paper, I discuss how the object of study is understood and conceptualized within my</w:t>
      </w:r>
      <w:r>
        <w:rPr>
          <w:rFonts w:ascii="Garamond" w:hAnsi="Garamond"/>
        </w:rPr>
        <w:t xml:space="preserve"> </w:t>
      </w:r>
      <w:r w:rsidRPr="0064037E">
        <w:rPr>
          <w:rFonts w:ascii="Garamond" w:hAnsi="Garamond"/>
        </w:rPr>
        <w:t>ongoing fieldwork-based doctoral research on lived religion and the transmission of the Virgin of</w:t>
      </w:r>
      <w:r>
        <w:rPr>
          <w:rFonts w:ascii="Garamond" w:hAnsi="Garamond"/>
        </w:rPr>
        <w:t xml:space="preserve"> </w:t>
      </w:r>
      <w:r w:rsidRPr="0064037E">
        <w:rPr>
          <w:rFonts w:ascii="Garamond" w:hAnsi="Garamond"/>
        </w:rPr>
        <w:t>Guadalupe’s cult in Guadalajara, Mexico. My research focuses on emerging adults (aged 24–30),</w:t>
      </w:r>
      <w:r>
        <w:rPr>
          <w:rFonts w:ascii="Garamond" w:hAnsi="Garamond"/>
        </w:rPr>
        <w:t xml:space="preserve"> </w:t>
      </w:r>
      <w:r w:rsidRPr="0064037E">
        <w:rPr>
          <w:rFonts w:ascii="Garamond" w:hAnsi="Garamond"/>
        </w:rPr>
        <w:t>a transitional life stage particularly visible among the upper-middle class in Guadalajara, to explore</w:t>
      </w:r>
      <w:r>
        <w:rPr>
          <w:rFonts w:ascii="Garamond" w:hAnsi="Garamond"/>
        </w:rPr>
        <w:t xml:space="preserve"> </w:t>
      </w:r>
      <w:r w:rsidRPr="0064037E">
        <w:rPr>
          <w:rFonts w:ascii="Garamond" w:hAnsi="Garamond"/>
        </w:rPr>
        <w:t>how the cult is practiced, lived, and experienced in their everyday lives, how it has been transmitted</w:t>
      </w:r>
      <w:r>
        <w:rPr>
          <w:rFonts w:ascii="Garamond" w:hAnsi="Garamond"/>
        </w:rPr>
        <w:t xml:space="preserve"> </w:t>
      </w:r>
      <w:r w:rsidRPr="0064037E">
        <w:rPr>
          <w:rFonts w:ascii="Garamond" w:hAnsi="Garamond"/>
        </w:rPr>
        <w:t>to them, and which sources have shaped their relationship with the Virgin. To trace generational</w:t>
      </w:r>
      <w:r>
        <w:rPr>
          <w:rFonts w:ascii="Garamond" w:hAnsi="Garamond"/>
        </w:rPr>
        <w:t xml:space="preserve"> </w:t>
      </w:r>
      <w:r w:rsidRPr="0064037E">
        <w:rPr>
          <w:rFonts w:ascii="Garamond" w:hAnsi="Garamond"/>
        </w:rPr>
        <w:t>continuities, transformations, and possible ruptures across family generations, I also include their</w:t>
      </w:r>
      <w:r>
        <w:rPr>
          <w:rFonts w:ascii="Garamond" w:hAnsi="Garamond"/>
        </w:rPr>
        <w:t xml:space="preserve"> </w:t>
      </w:r>
      <w:r w:rsidRPr="0064037E">
        <w:rPr>
          <w:rFonts w:ascii="Garamond" w:hAnsi="Garamond"/>
        </w:rPr>
        <w:t>parents in the research sample. This paper presents the theoretical and methodological foundations</w:t>
      </w:r>
      <w:r>
        <w:rPr>
          <w:rFonts w:ascii="Garamond" w:hAnsi="Garamond"/>
        </w:rPr>
        <w:t xml:space="preserve"> </w:t>
      </w:r>
      <w:r w:rsidRPr="0064037E">
        <w:rPr>
          <w:rFonts w:ascii="Garamond" w:hAnsi="Garamond"/>
        </w:rPr>
        <w:t>of the project before the main doctoral fieldwork, scheduled for September 2026. These</w:t>
      </w:r>
      <w:r>
        <w:rPr>
          <w:rFonts w:ascii="Garamond" w:hAnsi="Garamond"/>
        </w:rPr>
        <w:t xml:space="preserve"> </w:t>
      </w:r>
      <w:r w:rsidRPr="0064037E">
        <w:rPr>
          <w:rFonts w:ascii="Garamond" w:hAnsi="Garamond"/>
        </w:rPr>
        <w:t>foundations were gradually developed through my MA research in 2023 and preliminary field</w:t>
      </w:r>
      <w:r>
        <w:rPr>
          <w:rFonts w:ascii="Garamond" w:hAnsi="Garamond"/>
        </w:rPr>
        <w:t xml:space="preserve"> </w:t>
      </w:r>
      <w:r w:rsidRPr="0064037E">
        <w:rPr>
          <w:rFonts w:ascii="Garamond" w:hAnsi="Garamond"/>
        </w:rPr>
        <w:t>research in 2025, which refined the analytical focus and methodological choices. In the current</w:t>
      </w:r>
      <w:r>
        <w:rPr>
          <w:rFonts w:ascii="Garamond" w:hAnsi="Garamond"/>
        </w:rPr>
        <w:t xml:space="preserve"> </w:t>
      </w:r>
      <w:r w:rsidRPr="0064037E">
        <w:rPr>
          <w:rFonts w:ascii="Garamond" w:hAnsi="Garamond"/>
        </w:rPr>
        <w:t>religious landscape of Mexico, marked by diversification, renegotiation of beliefs, and increased</w:t>
      </w:r>
      <w:r>
        <w:rPr>
          <w:rFonts w:ascii="Garamond" w:hAnsi="Garamond"/>
        </w:rPr>
        <w:t xml:space="preserve"> </w:t>
      </w:r>
      <w:r w:rsidRPr="0064037E">
        <w:rPr>
          <w:rFonts w:ascii="Garamond" w:hAnsi="Garamond"/>
        </w:rPr>
        <w:t>individual religious autonomy, especially among young people, the meanings and practices of the</w:t>
      </w:r>
      <w:r>
        <w:rPr>
          <w:rFonts w:ascii="Garamond" w:hAnsi="Garamond"/>
        </w:rPr>
        <w:t xml:space="preserve"> </w:t>
      </w:r>
      <w:r w:rsidRPr="0064037E">
        <w:rPr>
          <w:rFonts w:ascii="Garamond" w:hAnsi="Garamond"/>
        </w:rPr>
        <w:t>Guadalupan cult are being reconfigured across multiple social spheres. Mexican youth now</w:t>
      </w:r>
      <w:r>
        <w:rPr>
          <w:rFonts w:ascii="Garamond" w:hAnsi="Garamond"/>
        </w:rPr>
        <w:t xml:space="preserve"> </w:t>
      </w:r>
      <w:r w:rsidRPr="0064037E">
        <w:rPr>
          <w:rFonts w:ascii="Garamond" w:hAnsi="Garamond"/>
        </w:rPr>
        <w:t>navigate multiple repertoires of Guadalupan meaning, making it difficult for researchers to treat</w:t>
      </w:r>
      <w:r>
        <w:rPr>
          <w:rFonts w:ascii="Garamond" w:hAnsi="Garamond"/>
        </w:rPr>
        <w:t xml:space="preserve"> </w:t>
      </w:r>
      <w:r w:rsidRPr="0064037E">
        <w:rPr>
          <w:rFonts w:ascii="Garamond" w:hAnsi="Garamond"/>
        </w:rPr>
        <w:t>the Virgin or her cult as a single-layered object of study. Drawing on extensive research on the</w:t>
      </w:r>
      <w:r>
        <w:rPr>
          <w:rFonts w:ascii="Garamond" w:hAnsi="Garamond"/>
        </w:rPr>
        <w:t xml:space="preserve"> </w:t>
      </w:r>
      <w:r w:rsidRPr="0064037E">
        <w:rPr>
          <w:rFonts w:ascii="Garamond" w:hAnsi="Garamond"/>
        </w:rPr>
        <w:t>Guadalupan cult and religious change in Mexico, I define the transmission of the cult as a multi-</w:t>
      </w:r>
      <w:r>
        <w:rPr>
          <w:rFonts w:ascii="Garamond" w:hAnsi="Garamond"/>
        </w:rPr>
        <w:t xml:space="preserve"> </w:t>
      </w:r>
      <w:r w:rsidRPr="0064037E">
        <w:rPr>
          <w:rFonts w:ascii="Garamond" w:hAnsi="Garamond"/>
        </w:rPr>
        <w:t>layered process shaped by the interplay of religious, familial, and cultural domains. I propose a</w:t>
      </w:r>
      <w:r>
        <w:rPr>
          <w:rFonts w:ascii="Garamond" w:hAnsi="Garamond"/>
        </w:rPr>
        <w:t xml:space="preserve"> </w:t>
      </w:r>
      <w:r w:rsidRPr="0064037E">
        <w:rPr>
          <w:rFonts w:ascii="Garamond" w:hAnsi="Garamond"/>
        </w:rPr>
        <w:t>three-layered model of these domains as an analytical framework for interpreting how interlocutors</w:t>
      </w:r>
      <w:r>
        <w:rPr>
          <w:rFonts w:ascii="Garamond" w:hAnsi="Garamond"/>
        </w:rPr>
        <w:t xml:space="preserve"> </w:t>
      </w:r>
      <w:r w:rsidRPr="0064037E">
        <w:rPr>
          <w:rFonts w:ascii="Garamond" w:hAnsi="Garamond"/>
        </w:rPr>
        <w:t>narrate their relationship with the Virgin and reflect on the influences, experiences, and practices</w:t>
      </w:r>
      <w:r>
        <w:rPr>
          <w:rFonts w:ascii="Garamond" w:hAnsi="Garamond"/>
        </w:rPr>
        <w:t xml:space="preserve"> </w:t>
      </w:r>
      <w:r w:rsidRPr="0064037E">
        <w:rPr>
          <w:rFonts w:ascii="Garamond" w:hAnsi="Garamond"/>
        </w:rPr>
        <w:t>that have shaped it. In this sense, the study focuses on the socially shaped and personally</w:t>
      </w:r>
      <w:r>
        <w:rPr>
          <w:rFonts w:ascii="Garamond" w:hAnsi="Garamond"/>
        </w:rPr>
        <w:t xml:space="preserve"> </w:t>
      </w:r>
      <w:r w:rsidRPr="0064037E">
        <w:rPr>
          <w:rFonts w:ascii="Garamond" w:hAnsi="Garamond"/>
        </w:rPr>
        <w:t>constructed relationship with the Virgin of Guadalupe as a layered, lived, and dynamic devotion</w:t>
      </w:r>
      <w:r>
        <w:rPr>
          <w:rFonts w:ascii="Garamond" w:hAnsi="Garamond"/>
        </w:rPr>
        <w:t xml:space="preserve"> </w:t>
      </w:r>
      <w:r w:rsidRPr="0064037E">
        <w:rPr>
          <w:rFonts w:ascii="Garamond" w:hAnsi="Garamond"/>
        </w:rPr>
        <w:t>that sometimes extends beyond religious affiliation. To better understand the complexity and</w:t>
      </w:r>
      <w:r>
        <w:rPr>
          <w:rFonts w:ascii="Garamond" w:hAnsi="Garamond"/>
        </w:rPr>
        <w:t xml:space="preserve"> </w:t>
      </w:r>
      <w:r w:rsidRPr="0064037E">
        <w:rPr>
          <w:rFonts w:ascii="Garamond" w:hAnsi="Garamond"/>
        </w:rPr>
        <w:t>diversity of individuals’ ways of relating to the Virgin, the research draws on the lived religion</w:t>
      </w:r>
      <w:r>
        <w:rPr>
          <w:rFonts w:ascii="Garamond" w:hAnsi="Garamond"/>
        </w:rPr>
        <w:t xml:space="preserve"> </w:t>
      </w:r>
      <w:r w:rsidRPr="0064037E">
        <w:rPr>
          <w:rFonts w:ascii="Garamond" w:hAnsi="Garamond"/>
        </w:rPr>
        <w:t>framework (McGuire, Ammerman, Morello). Accordingly, the study uses a qualitative,</w:t>
      </w:r>
      <w:r>
        <w:rPr>
          <w:rFonts w:ascii="Garamond" w:hAnsi="Garamond"/>
        </w:rPr>
        <w:t xml:space="preserve"> </w:t>
      </w:r>
      <w:r w:rsidRPr="0064037E">
        <w:rPr>
          <w:rFonts w:ascii="Garamond" w:hAnsi="Garamond"/>
        </w:rPr>
        <w:t>ethnographic approach grounded in a decolonial epistemological and methodological framework</w:t>
      </w:r>
      <w:r>
        <w:rPr>
          <w:rFonts w:ascii="Garamond" w:hAnsi="Garamond"/>
        </w:rPr>
        <w:t xml:space="preserve"> </w:t>
      </w:r>
      <w:r w:rsidRPr="0064037E">
        <w:rPr>
          <w:rFonts w:ascii="Garamond" w:hAnsi="Garamond"/>
        </w:rPr>
        <w:t>(</w:t>
      </w:r>
      <w:proofErr w:type="spellStart"/>
      <w:r w:rsidRPr="0064037E">
        <w:rPr>
          <w:rFonts w:ascii="Garamond" w:hAnsi="Garamond"/>
        </w:rPr>
        <w:t>Mignolo</w:t>
      </w:r>
      <w:proofErr w:type="spellEnd"/>
      <w:r w:rsidRPr="0064037E">
        <w:rPr>
          <w:rFonts w:ascii="Garamond" w:hAnsi="Garamond"/>
        </w:rPr>
        <w:t xml:space="preserve"> and de Sousa Santos). Within this framework, I reflect on my non-Western and non-</w:t>
      </w:r>
      <w:r>
        <w:rPr>
          <w:rFonts w:ascii="Garamond" w:hAnsi="Garamond"/>
        </w:rPr>
        <w:t xml:space="preserve"> </w:t>
      </w:r>
      <w:r w:rsidRPr="0064037E">
        <w:rPr>
          <w:rFonts w:ascii="Garamond" w:hAnsi="Garamond"/>
        </w:rPr>
        <w:t>Mexican epistemic liminality as a border researcher to cultivate epistemic sensitivity.</w:t>
      </w:r>
    </w:p>
    <w:p w14:paraId="06B158B8" w14:textId="77777777" w:rsidR="0064037E" w:rsidRDefault="0064037E" w:rsidP="0064037E">
      <w:pPr>
        <w:jc w:val="both"/>
        <w:rPr>
          <w:rFonts w:ascii="Garamond" w:hAnsi="Garamond"/>
        </w:rPr>
      </w:pPr>
    </w:p>
    <w:p w14:paraId="2419F58D" w14:textId="77777777" w:rsidR="0064037E" w:rsidRDefault="0064037E" w:rsidP="0064037E">
      <w:pPr>
        <w:spacing w:line="276" w:lineRule="auto"/>
        <w:jc w:val="both"/>
        <w:rPr>
          <w:rFonts w:ascii="Garamond" w:hAnsi="Garamond"/>
        </w:rPr>
      </w:pPr>
      <w:r>
        <w:rPr>
          <w:rFonts w:ascii="Garamond" w:hAnsi="Garamond"/>
          <w:b/>
          <w:bCs/>
        </w:rPr>
        <w:t xml:space="preserve">Ani Margaryan </w:t>
      </w:r>
      <w:r>
        <w:rPr>
          <w:rFonts w:ascii="Garamond" w:hAnsi="Garamond"/>
        </w:rPr>
        <w:t>(</w:t>
      </w:r>
      <w:r w:rsidRPr="00462DF1">
        <w:rPr>
          <w:rFonts w:ascii="Garamond" w:hAnsi="Garamond"/>
        </w:rPr>
        <w:t>Soochow University, China</w:t>
      </w:r>
      <w:r>
        <w:rPr>
          <w:rFonts w:ascii="Garamond" w:hAnsi="Garamond"/>
        </w:rPr>
        <w:t xml:space="preserve">) – </w:t>
      </w:r>
      <w:r w:rsidRPr="00462DF1">
        <w:rPr>
          <w:rFonts w:ascii="Garamond" w:hAnsi="Garamond"/>
        </w:rPr>
        <w:t xml:space="preserve">Material Heuristics and the </w:t>
      </w:r>
      <w:proofErr w:type="gramStart"/>
      <w:r w:rsidRPr="00462DF1">
        <w:rPr>
          <w:rFonts w:ascii="Garamond" w:hAnsi="Garamond"/>
        </w:rPr>
        <w:t>Soviet-Armenian</w:t>
      </w:r>
      <w:proofErr w:type="gramEnd"/>
      <w:r w:rsidRPr="00462DF1">
        <w:rPr>
          <w:rFonts w:ascii="Garamond" w:hAnsi="Garamond"/>
        </w:rPr>
        <w:t xml:space="preserve"> Intelligentsia: Asian Religious Artifacts as Objects of Secular Synthesis</w:t>
      </w:r>
    </w:p>
    <w:p w14:paraId="28B707EB" w14:textId="77777777" w:rsidR="0064037E" w:rsidRPr="0064037E" w:rsidRDefault="0064037E" w:rsidP="0064037E">
      <w:pPr>
        <w:jc w:val="both"/>
        <w:rPr>
          <w:rFonts w:ascii="Garamond" w:hAnsi="Garamond"/>
          <w:lang w:val="en-US"/>
        </w:rPr>
      </w:pPr>
      <w:r w:rsidRPr="0064037E">
        <w:rPr>
          <w:rFonts w:ascii="Garamond" w:hAnsi="Garamond"/>
          <w:lang w:val="en-US"/>
        </w:rPr>
        <w:t xml:space="preserve">This study employs an interdisciplinary, object-driven methodology to argue that the </w:t>
      </w:r>
      <w:proofErr w:type="gramStart"/>
      <w:r w:rsidRPr="0064037E">
        <w:rPr>
          <w:rFonts w:ascii="Garamond" w:hAnsi="Garamond"/>
          <w:lang w:val="en-US"/>
        </w:rPr>
        <w:t>Soviet-Armenian</w:t>
      </w:r>
      <w:proofErr w:type="gramEnd"/>
      <w:r w:rsidRPr="0064037E">
        <w:rPr>
          <w:rFonts w:ascii="Garamond" w:hAnsi="Garamond"/>
          <w:lang w:val="en-US"/>
        </w:rPr>
        <w:t xml:space="preserve"> intelligentsia cultivated a secular modality of engagement with Asian religious cultures through the systematic collection of Buddhist and Daoist </w:t>
      </w:r>
      <w:proofErr w:type="spellStart"/>
      <w:r w:rsidRPr="0064037E">
        <w:rPr>
          <w:rFonts w:ascii="Garamond" w:hAnsi="Garamond"/>
          <w:i/>
          <w:iCs/>
        </w:rPr>
        <w:t>objets</w:t>
      </w:r>
      <w:proofErr w:type="spellEnd"/>
      <w:r w:rsidRPr="0064037E">
        <w:rPr>
          <w:rFonts w:ascii="Garamond" w:hAnsi="Garamond"/>
          <w:i/>
          <w:iCs/>
        </w:rPr>
        <w:t xml:space="preserve"> d</w:t>
      </w:r>
      <w:r w:rsidRPr="0064037E">
        <w:rPr>
          <w:rFonts w:ascii="Garamond" w:hAnsi="Garamond"/>
          <w:i/>
          <w:iCs/>
          <w:rtl/>
        </w:rPr>
        <w:t>’</w:t>
      </w:r>
      <w:r w:rsidRPr="0064037E">
        <w:rPr>
          <w:rFonts w:ascii="Garamond" w:hAnsi="Garamond"/>
          <w:i/>
          <w:iCs/>
          <w:lang w:val="en-US"/>
        </w:rPr>
        <w:t>art.</w:t>
      </w:r>
      <w:r w:rsidRPr="0064037E">
        <w:rPr>
          <w:rFonts w:ascii="Garamond" w:hAnsi="Garamond"/>
          <w:lang w:val="en-US"/>
        </w:rPr>
        <w:t xml:space="preserve"> By synthesizing rare archival documents—including unpublished correspondence and institutional records—with a material </w:t>
      </w:r>
      <w:r w:rsidRPr="0064037E">
        <w:rPr>
          <w:rFonts w:ascii="Garamond" w:hAnsi="Garamond"/>
          <w:lang w:val="en-US"/>
        </w:rPr>
        <w:lastRenderedPageBreak/>
        <w:t xml:space="preserve">analysis of private collections, it examines a cohort comprising Avetik Isahakyan, Yeghishe </w:t>
      </w:r>
      <w:proofErr w:type="spellStart"/>
      <w:r w:rsidRPr="0064037E">
        <w:rPr>
          <w:rFonts w:ascii="Garamond" w:hAnsi="Garamond"/>
          <w:lang w:val="en-US"/>
        </w:rPr>
        <w:t>Charents</w:t>
      </w:r>
      <w:proofErr w:type="spellEnd"/>
      <w:r w:rsidRPr="0064037E">
        <w:rPr>
          <w:rFonts w:ascii="Garamond" w:hAnsi="Garamond"/>
          <w:lang w:val="en-US"/>
        </w:rPr>
        <w:t xml:space="preserve">, </w:t>
      </w:r>
      <w:proofErr w:type="spellStart"/>
      <w:r w:rsidRPr="0064037E">
        <w:rPr>
          <w:rFonts w:ascii="Garamond" w:hAnsi="Garamond"/>
          <w:lang w:val="en-US"/>
        </w:rPr>
        <w:t>Martiros</w:t>
      </w:r>
      <w:proofErr w:type="spellEnd"/>
      <w:r w:rsidRPr="0064037E">
        <w:rPr>
          <w:rFonts w:ascii="Garamond" w:hAnsi="Garamond"/>
          <w:lang w:val="en-US"/>
        </w:rPr>
        <w:t xml:space="preserve"> Saryan, Silva Kaputikyan, Mariam Aslamazyan, and others. Framed by critiques of Orientalism and theories of cross-cultural appropriation, the analysis interrogates how ownership facilitated the deliberate re-functioning and re-contextualization of sacred icons into heuristic tools for philosophical inquiry, tokens of intellectual sociability, and components of a curated private "Orient" that functioned as a sanctioned conduit for global aesthetic and ideational exchange.</w:t>
      </w:r>
    </w:p>
    <w:p w14:paraId="10B78044" w14:textId="77777777" w:rsidR="0064037E" w:rsidRPr="0064037E" w:rsidRDefault="0064037E" w:rsidP="0064037E">
      <w:pPr>
        <w:jc w:val="both"/>
        <w:rPr>
          <w:rFonts w:ascii="Garamond" w:hAnsi="Garamond"/>
          <w:lang w:val="en-US"/>
        </w:rPr>
      </w:pPr>
      <w:r w:rsidRPr="0064037E">
        <w:rPr>
          <w:rFonts w:ascii="Garamond" w:hAnsi="Garamond"/>
          <w:lang w:val="en-US"/>
        </w:rPr>
        <w:t xml:space="preserve">The investigation elucidates a coherent pattern wherein possession enabled a semantic transformation that mediated the personal interrelations defining the period's intellectual landscape. This is exemplified by the epistemic function of a gilt bronze Buddha within </w:t>
      </w:r>
      <w:proofErr w:type="spellStart"/>
      <w:r w:rsidRPr="0064037E">
        <w:rPr>
          <w:rFonts w:ascii="Garamond" w:hAnsi="Garamond"/>
          <w:lang w:val="en-US"/>
        </w:rPr>
        <w:t>Isahakyan's</w:t>
      </w:r>
      <w:proofErr w:type="spellEnd"/>
      <w:r w:rsidRPr="0064037E">
        <w:rPr>
          <w:rFonts w:ascii="Garamond" w:hAnsi="Garamond"/>
          <w:lang w:val="en-US"/>
        </w:rPr>
        <w:t xml:space="preserve"> study, which materialized discourses on Nirvana present in </w:t>
      </w:r>
      <w:proofErr w:type="spellStart"/>
      <w:r w:rsidRPr="0064037E">
        <w:rPr>
          <w:rFonts w:ascii="Garamond" w:hAnsi="Garamond"/>
          <w:lang w:val="en-US"/>
        </w:rPr>
        <w:t>Charents's</w:t>
      </w:r>
      <w:proofErr w:type="spellEnd"/>
      <w:r w:rsidRPr="0064037E">
        <w:rPr>
          <w:rFonts w:ascii="Garamond" w:hAnsi="Garamond"/>
          <w:lang w:val="en-US"/>
        </w:rPr>
        <w:t xml:space="preserve"> poetry, and by the soapstone Laozi figurine—gifted and inscribed by </w:t>
      </w:r>
      <w:proofErr w:type="spellStart"/>
      <w:r w:rsidRPr="0064037E">
        <w:rPr>
          <w:rFonts w:ascii="Garamond" w:hAnsi="Garamond"/>
          <w:lang w:val="en-US"/>
        </w:rPr>
        <w:t>Charents</w:t>
      </w:r>
      <w:proofErr w:type="spellEnd"/>
      <w:r w:rsidRPr="0064037E">
        <w:rPr>
          <w:rFonts w:ascii="Garamond" w:hAnsi="Garamond"/>
          <w:lang w:val="en-US"/>
        </w:rPr>
        <w:t xml:space="preserve"> to </w:t>
      </w:r>
      <w:proofErr w:type="spellStart"/>
      <w:r w:rsidRPr="0064037E">
        <w:rPr>
          <w:rFonts w:ascii="Garamond" w:hAnsi="Garamond"/>
          <w:lang w:val="en-US"/>
        </w:rPr>
        <w:t>Isahakyan</w:t>
      </w:r>
      <w:proofErr w:type="spellEnd"/>
      <w:r w:rsidRPr="0064037E">
        <w:rPr>
          <w:rFonts w:ascii="Garamond" w:hAnsi="Garamond"/>
          <w:lang w:val="en-US"/>
        </w:rPr>
        <w:t xml:space="preserve">—which operated as a social cipher encoding a bond of philosophical exile amidst political peril. The analysis traces a dialectical relationship between literary and artistic oeuvres and their attendant objects, demonstrating how these artifacts informed thematic choices, compositional strategies, and the construction of contemplative identities within a constrained ideological sphere, thereby shaping a distinctive </w:t>
      </w:r>
      <w:proofErr w:type="gramStart"/>
      <w:r w:rsidRPr="0064037E">
        <w:rPr>
          <w:rFonts w:ascii="Garamond" w:hAnsi="Garamond"/>
          <w:lang w:val="en-US"/>
        </w:rPr>
        <w:t>Soviet-Armenian</w:t>
      </w:r>
      <w:proofErr w:type="gramEnd"/>
      <w:r w:rsidRPr="0064037E">
        <w:rPr>
          <w:rFonts w:ascii="Garamond" w:hAnsi="Garamond"/>
          <w:lang w:val="en-US"/>
        </w:rPr>
        <w:t xml:space="preserve"> cosmopolitanism.</w:t>
      </w:r>
    </w:p>
    <w:p w14:paraId="4C9C2735" w14:textId="6AC06586" w:rsidR="0064037E" w:rsidRPr="0064037E" w:rsidRDefault="0064037E" w:rsidP="0064037E">
      <w:pPr>
        <w:jc w:val="both"/>
        <w:rPr>
          <w:rFonts w:ascii="Garamond" w:hAnsi="Garamond"/>
        </w:rPr>
      </w:pPr>
      <w:r w:rsidRPr="0064037E">
        <w:rPr>
          <w:rFonts w:ascii="Garamond" w:hAnsi="Garamond"/>
          <w:lang w:val="en-US"/>
        </w:rPr>
        <w:t xml:space="preserve">Consequently, this collective practice presents a model for the </w:t>
      </w:r>
      <w:r w:rsidRPr="0064037E">
        <w:rPr>
          <w:rFonts w:ascii="Garamond" w:hAnsi="Garamond"/>
          <w:rtl/>
          <w:lang w:val="ar-SA"/>
        </w:rPr>
        <w:t>“</w:t>
      </w:r>
      <w:r w:rsidRPr="0064037E">
        <w:rPr>
          <w:rFonts w:ascii="Garamond" w:hAnsi="Garamond"/>
          <w:lang w:val="en-US"/>
        </w:rPr>
        <w:t xml:space="preserve">study of religion without an object,” shifting the analytical focus from religious essence to the secular processes of curation and synthesis enacted through ownership. By reframing these collections as secular shrines, the study demonstrates that the </w:t>
      </w:r>
      <w:r w:rsidRPr="0064037E">
        <w:rPr>
          <w:rFonts w:ascii="Garamond" w:hAnsi="Garamond"/>
          <w:rtl/>
          <w:lang w:val="ar-SA"/>
        </w:rPr>
        <w:t>“</w:t>
      </w:r>
      <w:r w:rsidRPr="0064037E">
        <w:rPr>
          <w:rFonts w:ascii="Garamond" w:hAnsi="Garamond"/>
          <w:lang w:val="en-US"/>
        </w:rPr>
        <w:t xml:space="preserve">religious” is most productively analyzed through the agentive afterlife of its material culture in non-liturgical contexts. This methodological reframing contributes a </w:t>
      </w:r>
      <w:proofErr w:type="gramStart"/>
      <w:r w:rsidRPr="0064037E">
        <w:rPr>
          <w:rFonts w:ascii="Garamond" w:hAnsi="Garamond"/>
          <w:lang w:val="en-US"/>
        </w:rPr>
        <w:t>historically-grounded</w:t>
      </w:r>
      <w:proofErr w:type="gramEnd"/>
      <w:r w:rsidRPr="0064037E">
        <w:rPr>
          <w:rFonts w:ascii="Garamond" w:hAnsi="Garamond"/>
          <w:lang w:val="en-US"/>
        </w:rPr>
        <w:t xml:space="preserve">, </w:t>
      </w:r>
      <w:proofErr w:type="gramStart"/>
      <w:r w:rsidRPr="0064037E">
        <w:rPr>
          <w:rFonts w:ascii="Garamond" w:hAnsi="Garamond"/>
          <w:lang w:val="en-US"/>
        </w:rPr>
        <w:t>materially-specific</w:t>
      </w:r>
      <w:proofErr w:type="gramEnd"/>
      <w:r w:rsidRPr="0064037E">
        <w:rPr>
          <w:rFonts w:ascii="Garamond" w:hAnsi="Garamond"/>
          <w:lang w:val="en-US"/>
        </w:rPr>
        <w:t xml:space="preserve"> case to interdisciplinary discourses on cross-culturalism, post-colonial materiality, and the epistemological boundaries of religious studies, offering a framework for analyzing the de-reification of sacred forms through their integration into modern intellectual life</w:t>
      </w:r>
    </w:p>
    <w:sectPr w:rsidR="0064037E" w:rsidRPr="006403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Height1" w:val="777"/>
    <w:docVar w:name="varLeft1" w:val="0"/>
    <w:docVar w:name="varNavHeight" w:val="997"/>
    <w:docVar w:name="varNavLeft" w:val="0"/>
    <w:docVar w:name="varNavPosition" w:val="0"/>
    <w:docVar w:name="varNavTop" w:val="0"/>
    <w:docVar w:name="varNavVisible" w:val="False"/>
    <w:docVar w:name="varNavWidth" w:val="350"/>
    <w:docVar w:name="varPagination1" w:val="False"/>
    <w:docVar w:name="varSavedView1" w:val="3"/>
    <w:docVar w:name="varSelStart1" w:val="45009"/>
    <w:docVar w:name="varTop1" w:val="-810"/>
    <w:docVar w:name="varWidth1" w:val="705"/>
    <w:docVar w:name="varWindowCount" w:val="1"/>
    <w:docVar w:name="varZoom1" w:val="110"/>
  </w:docVars>
  <w:rsids>
    <w:rsidRoot w:val="00E4540A"/>
    <w:rsid w:val="00524457"/>
    <w:rsid w:val="00563234"/>
    <w:rsid w:val="0059468F"/>
    <w:rsid w:val="005D4390"/>
    <w:rsid w:val="0064037E"/>
    <w:rsid w:val="008F54FA"/>
    <w:rsid w:val="00A360B8"/>
    <w:rsid w:val="00A52420"/>
    <w:rsid w:val="00BC6036"/>
    <w:rsid w:val="00CA435B"/>
    <w:rsid w:val="00DE6111"/>
    <w:rsid w:val="00E231BC"/>
    <w:rsid w:val="00E4540A"/>
    <w:rsid w:val="00E52805"/>
    <w:rsid w:val="00F81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4DB2"/>
  <w15:chartTrackingRefBased/>
  <w15:docId w15:val="{0CC5EEF6-5BEE-48E7-9F13-35B2211B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40A"/>
    <w:rPr>
      <w:rFonts w:eastAsiaTheme="majorEastAsia" w:cstheme="majorBidi"/>
      <w:color w:val="272727" w:themeColor="text1" w:themeTint="D8"/>
    </w:rPr>
  </w:style>
  <w:style w:type="paragraph" w:styleId="Title">
    <w:name w:val="Title"/>
    <w:basedOn w:val="Normal"/>
    <w:next w:val="Normal"/>
    <w:link w:val="TitleChar"/>
    <w:uiPriority w:val="10"/>
    <w:qFormat/>
    <w:rsid w:val="00E45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40A"/>
    <w:pPr>
      <w:spacing w:before="160"/>
      <w:jc w:val="center"/>
    </w:pPr>
    <w:rPr>
      <w:i/>
      <w:iCs/>
      <w:color w:val="404040" w:themeColor="text1" w:themeTint="BF"/>
    </w:rPr>
  </w:style>
  <w:style w:type="character" w:customStyle="1" w:styleId="QuoteChar">
    <w:name w:val="Quote Char"/>
    <w:basedOn w:val="DefaultParagraphFont"/>
    <w:link w:val="Quote"/>
    <w:uiPriority w:val="29"/>
    <w:rsid w:val="00E4540A"/>
    <w:rPr>
      <w:i/>
      <w:iCs/>
      <w:color w:val="404040" w:themeColor="text1" w:themeTint="BF"/>
    </w:rPr>
  </w:style>
  <w:style w:type="paragraph" w:styleId="ListParagraph">
    <w:name w:val="List Paragraph"/>
    <w:basedOn w:val="Normal"/>
    <w:uiPriority w:val="34"/>
    <w:qFormat/>
    <w:rsid w:val="00E4540A"/>
    <w:pPr>
      <w:ind w:left="720"/>
      <w:contextualSpacing/>
    </w:pPr>
  </w:style>
  <w:style w:type="character" w:styleId="IntenseEmphasis">
    <w:name w:val="Intense Emphasis"/>
    <w:basedOn w:val="DefaultParagraphFont"/>
    <w:uiPriority w:val="21"/>
    <w:qFormat/>
    <w:rsid w:val="00E4540A"/>
    <w:rPr>
      <w:i/>
      <w:iCs/>
      <w:color w:val="0F4761" w:themeColor="accent1" w:themeShade="BF"/>
    </w:rPr>
  </w:style>
  <w:style w:type="paragraph" w:styleId="IntenseQuote">
    <w:name w:val="Intense Quote"/>
    <w:basedOn w:val="Normal"/>
    <w:next w:val="Normal"/>
    <w:link w:val="IntenseQuoteChar"/>
    <w:uiPriority w:val="30"/>
    <w:qFormat/>
    <w:rsid w:val="00E45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40A"/>
    <w:rPr>
      <w:i/>
      <w:iCs/>
      <w:color w:val="0F4761" w:themeColor="accent1" w:themeShade="BF"/>
    </w:rPr>
  </w:style>
  <w:style w:type="character" w:styleId="IntenseReference">
    <w:name w:val="Intense Reference"/>
    <w:basedOn w:val="DefaultParagraphFont"/>
    <w:uiPriority w:val="32"/>
    <w:qFormat/>
    <w:rsid w:val="00E454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15</Pages>
  <Words>7745</Words>
  <Characters>44147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Indrek Peedu</dc:creator>
  <cp:keywords/>
  <dc:description/>
  <cp:lastModifiedBy>Indrek Peedu</cp:lastModifiedBy>
  <cp:revision>2</cp:revision>
  <dcterms:created xsi:type="dcterms:W3CDTF">2026-08-10T10:07:00Z</dcterms:created>
  <dcterms:modified xsi:type="dcterms:W3CDTF">2026-08-10T10:46:00Z</dcterms:modified>
</cp:coreProperties>
</file>